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1122F" w14:textId="77777777" w:rsidR="00761E4C" w:rsidRDefault="00761E4C" w:rsidP="008C450B">
      <w:pPr>
        <w:spacing w:after="0" w:line="240" w:lineRule="auto"/>
        <w:jc w:val="both"/>
        <w:rPr>
          <w:b/>
          <w:color w:val="6699FF"/>
          <w:sz w:val="40"/>
          <w:szCs w:val="40"/>
          <w:lang w:val="de-DE"/>
        </w:rPr>
      </w:pPr>
      <w:bookmarkStart w:id="0" w:name="_GoBack"/>
      <w:bookmarkEnd w:id="0"/>
      <w:r>
        <w:rPr>
          <w:rFonts w:ascii="Arial" w:eastAsia="Arial Unicode MS" w:hAnsi="Arial" w:cs="Arial"/>
          <w:bCs/>
          <w:iCs/>
          <w:noProof/>
          <w:sz w:val="20"/>
          <w:szCs w:val="20"/>
          <w:lang w:val="de-DE" w:eastAsia="de-DE"/>
        </w:rPr>
        <w:drawing>
          <wp:anchor distT="0" distB="0" distL="114300" distR="114300" simplePos="0" relativeHeight="251665408" behindDoc="0" locked="0" layoutInCell="1" allowOverlap="1" wp14:anchorId="00035BED" wp14:editId="0BC38A75">
            <wp:simplePos x="0" y="0"/>
            <wp:positionH relativeFrom="margin">
              <wp:posOffset>0</wp:posOffset>
            </wp:positionH>
            <wp:positionV relativeFrom="margin">
              <wp:posOffset>-205740</wp:posOffset>
            </wp:positionV>
            <wp:extent cx="1642745" cy="116586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2745" cy="1165860"/>
                    </a:xfrm>
                    <a:prstGeom prst="rect">
                      <a:avLst/>
                    </a:prstGeom>
                    <a:noFill/>
                  </pic:spPr>
                </pic:pic>
              </a:graphicData>
            </a:graphic>
          </wp:anchor>
        </w:drawing>
      </w:r>
    </w:p>
    <w:p w14:paraId="539F3113" w14:textId="1DB307E2" w:rsidR="00423BE6" w:rsidRPr="00CE5390" w:rsidRDefault="00025643" w:rsidP="005B12CF">
      <w:pPr>
        <w:spacing w:after="0" w:line="240" w:lineRule="auto"/>
        <w:jc w:val="right"/>
        <w:rPr>
          <w:b/>
          <w:color w:val="404040" w:themeColor="text1" w:themeTint="BF"/>
          <w:sz w:val="40"/>
          <w:szCs w:val="40"/>
        </w:rPr>
      </w:pPr>
      <w:r>
        <w:rPr>
          <w:b/>
          <w:color w:val="404040" w:themeColor="text1" w:themeTint="BF"/>
          <w:sz w:val="40"/>
          <w:szCs w:val="40"/>
        </w:rPr>
        <w:t>COMMUNIQUÉ DE PRESSE</w:t>
      </w:r>
    </w:p>
    <w:p w14:paraId="41D86077" w14:textId="784226EA" w:rsidR="0085111A" w:rsidRPr="00CE5390" w:rsidRDefault="0068261A" w:rsidP="0085111A">
      <w:pPr>
        <w:spacing w:after="0" w:line="276" w:lineRule="auto"/>
        <w:jc w:val="right"/>
        <w:rPr>
          <w:sz w:val="28"/>
          <w:szCs w:val="28"/>
        </w:rPr>
      </w:pPr>
      <w:r w:rsidRPr="00CE5390">
        <w:rPr>
          <w:sz w:val="28"/>
          <w:szCs w:val="28"/>
        </w:rPr>
        <w:t>Freiburg</w:t>
      </w:r>
      <w:r w:rsidR="00025643">
        <w:rPr>
          <w:sz w:val="28"/>
          <w:szCs w:val="28"/>
        </w:rPr>
        <w:t xml:space="preserve"> (D)</w:t>
      </w:r>
      <w:r w:rsidR="0085111A" w:rsidRPr="00CE5390">
        <w:rPr>
          <w:sz w:val="28"/>
          <w:szCs w:val="28"/>
        </w:rPr>
        <w:t xml:space="preserve">, </w:t>
      </w:r>
      <w:r w:rsidR="00CE5390" w:rsidRPr="00CE5390">
        <w:rPr>
          <w:sz w:val="28"/>
          <w:szCs w:val="28"/>
        </w:rPr>
        <w:t>le 13 décembre</w:t>
      </w:r>
      <w:r w:rsidR="0085111A" w:rsidRPr="00CE5390">
        <w:rPr>
          <w:sz w:val="28"/>
          <w:szCs w:val="28"/>
        </w:rPr>
        <w:t xml:space="preserve"> 201</w:t>
      </w:r>
      <w:r w:rsidR="00F716D7" w:rsidRPr="00CE5390">
        <w:rPr>
          <w:sz w:val="28"/>
          <w:szCs w:val="28"/>
        </w:rPr>
        <w:t>8</w:t>
      </w:r>
    </w:p>
    <w:p w14:paraId="7859B2AE" w14:textId="3A2F4861" w:rsidR="00FF32FD" w:rsidRPr="00CE5390" w:rsidRDefault="00FF32FD" w:rsidP="00F57E1D">
      <w:pPr>
        <w:spacing w:after="0" w:line="276" w:lineRule="auto"/>
        <w:jc w:val="right"/>
        <w:rPr>
          <w:b/>
          <w:color w:val="404040" w:themeColor="text1" w:themeTint="BF"/>
          <w:sz w:val="40"/>
          <w:szCs w:val="40"/>
        </w:rPr>
      </w:pPr>
    </w:p>
    <w:p w14:paraId="7708EEE4" w14:textId="41EF961F" w:rsidR="002E7BFE" w:rsidRDefault="0007605E" w:rsidP="002E7BFE">
      <w:pPr>
        <w:spacing w:after="0" w:line="240" w:lineRule="auto"/>
        <w:jc w:val="both"/>
        <w:rPr>
          <w:b/>
          <w:color w:val="6699FF"/>
          <w:sz w:val="40"/>
          <w:szCs w:val="40"/>
        </w:rPr>
      </w:pPr>
      <w:r>
        <w:rPr>
          <w:b/>
          <w:color w:val="6699FF"/>
          <w:sz w:val="44"/>
          <w:szCs w:val="40"/>
        </w:rPr>
        <w:t>6,1</w:t>
      </w:r>
      <w:r w:rsidR="002E7BFE">
        <w:rPr>
          <w:b/>
          <w:color w:val="6699FF"/>
          <w:sz w:val="44"/>
          <w:szCs w:val="40"/>
        </w:rPr>
        <w:t xml:space="preserve"> millions d’euros de fonds européens pour la coopération transfrontalière dans l’espace du Rhin </w:t>
      </w:r>
      <w:r w:rsidR="0063670F">
        <w:rPr>
          <w:b/>
          <w:color w:val="6699FF"/>
          <w:sz w:val="44"/>
          <w:szCs w:val="40"/>
        </w:rPr>
        <w:t>s</w:t>
      </w:r>
      <w:r w:rsidR="002E7BFE">
        <w:rPr>
          <w:b/>
          <w:color w:val="6699FF"/>
          <w:sz w:val="44"/>
          <w:szCs w:val="40"/>
        </w:rPr>
        <w:t>upérieur</w:t>
      </w:r>
    </w:p>
    <w:p w14:paraId="212317A8" w14:textId="77777777" w:rsidR="0063670F" w:rsidRPr="00EC5B6A" w:rsidRDefault="0063670F" w:rsidP="00D21D29">
      <w:pPr>
        <w:spacing w:after="0" w:line="240" w:lineRule="auto"/>
        <w:jc w:val="both"/>
        <w:rPr>
          <w:color w:val="6699FF"/>
          <w:sz w:val="32"/>
          <w:szCs w:val="40"/>
        </w:rPr>
      </w:pPr>
    </w:p>
    <w:p w14:paraId="6C1DBBE7" w14:textId="6296F965" w:rsidR="0063670F" w:rsidRDefault="0063670F" w:rsidP="00835870">
      <w:pPr>
        <w:spacing w:after="0" w:line="240" w:lineRule="auto"/>
        <w:jc w:val="both"/>
        <w:rPr>
          <w:color w:val="6699FF"/>
          <w:sz w:val="16"/>
        </w:rPr>
      </w:pPr>
      <w:r>
        <w:rPr>
          <w:color w:val="6699FF"/>
          <w:sz w:val="32"/>
          <w:szCs w:val="40"/>
        </w:rPr>
        <w:t>L’Union européenne finance 8 nouveaux projets de coopérat</w:t>
      </w:r>
      <w:r w:rsidR="0007605E">
        <w:rPr>
          <w:color w:val="6699FF"/>
          <w:sz w:val="32"/>
          <w:szCs w:val="40"/>
        </w:rPr>
        <w:t>ion dans le Rhin supérieur : 6,1</w:t>
      </w:r>
      <w:r>
        <w:rPr>
          <w:color w:val="6699FF"/>
          <w:sz w:val="32"/>
          <w:szCs w:val="40"/>
        </w:rPr>
        <w:t xml:space="preserve"> millions d’euros issus du Fonds européen de développement régional (FEDER) ont été attribués par le programme INTERREG à l’occasion de la réunion de son Comité de suivi à</w:t>
      </w:r>
      <w:r w:rsidR="00A9319E">
        <w:rPr>
          <w:color w:val="6699FF"/>
          <w:sz w:val="32"/>
          <w:szCs w:val="40"/>
        </w:rPr>
        <w:t xml:space="preserve"> Freiburg ce jeudi 13 décembre.</w:t>
      </w:r>
    </w:p>
    <w:p w14:paraId="5A4F5C79" w14:textId="77777777" w:rsidR="0063670F" w:rsidRPr="0063670F" w:rsidRDefault="0063670F" w:rsidP="00825120">
      <w:pPr>
        <w:spacing w:after="0" w:line="240" w:lineRule="auto"/>
        <w:jc w:val="both"/>
        <w:rPr>
          <w:color w:val="6699FF"/>
        </w:rPr>
      </w:pPr>
    </w:p>
    <w:p w14:paraId="76AB7E40" w14:textId="77777777" w:rsidR="00BF110D" w:rsidRPr="0063670F" w:rsidRDefault="00BF110D" w:rsidP="00825120">
      <w:pPr>
        <w:spacing w:after="0" w:line="240" w:lineRule="auto"/>
        <w:jc w:val="both"/>
      </w:pPr>
    </w:p>
    <w:p w14:paraId="53C120C0" w14:textId="384DD6DC" w:rsidR="00C10EB8" w:rsidRPr="00025643" w:rsidRDefault="0063670F" w:rsidP="00894C67">
      <w:pPr>
        <w:spacing w:after="0" w:line="240" w:lineRule="auto"/>
        <w:jc w:val="both"/>
        <w:rPr>
          <w:b/>
          <w:color w:val="6699FF"/>
          <w:sz w:val="28"/>
          <w:szCs w:val="28"/>
        </w:rPr>
      </w:pPr>
      <w:r w:rsidRPr="00025643">
        <w:rPr>
          <w:b/>
          <w:color w:val="6699FF"/>
          <w:sz w:val="28"/>
          <w:szCs w:val="28"/>
        </w:rPr>
        <w:t>Les nouveaux projets</w:t>
      </w:r>
    </w:p>
    <w:p w14:paraId="31939A10" w14:textId="77777777" w:rsidR="00277A67" w:rsidRPr="00025643" w:rsidRDefault="00277A67" w:rsidP="00A95B2C">
      <w:pPr>
        <w:spacing w:after="0" w:line="240" w:lineRule="auto"/>
        <w:jc w:val="both"/>
      </w:pPr>
    </w:p>
    <w:p w14:paraId="4EBC8CC9" w14:textId="1B33EEDA" w:rsidR="00AA44D7" w:rsidRPr="00025643" w:rsidRDefault="00025643" w:rsidP="00AA44D7">
      <w:pPr>
        <w:rPr>
          <w:b/>
          <w:color w:val="6699FF"/>
          <w:sz w:val="24"/>
          <w:szCs w:val="28"/>
        </w:rPr>
      </w:pPr>
      <w:r w:rsidRPr="00025643">
        <w:rPr>
          <w:b/>
          <w:color w:val="6699FF"/>
          <w:sz w:val="24"/>
          <w:szCs w:val="28"/>
        </w:rPr>
        <w:t>Préserver l</w:t>
      </w:r>
      <w:r w:rsidR="00CE5390" w:rsidRPr="00025643">
        <w:rPr>
          <w:b/>
          <w:color w:val="6699FF"/>
          <w:sz w:val="24"/>
          <w:szCs w:val="28"/>
        </w:rPr>
        <w:t>es espèces menacées</w:t>
      </w:r>
    </w:p>
    <w:p w14:paraId="3A0374FC" w14:textId="4FAE166D" w:rsidR="00D56580" w:rsidRDefault="00EC5B6A" w:rsidP="00D52761">
      <w:pPr>
        <w:spacing w:after="0" w:line="240" w:lineRule="auto"/>
        <w:jc w:val="both"/>
        <w:rPr>
          <w:szCs w:val="28"/>
        </w:rPr>
      </w:pPr>
      <w:r w:rsidRPr="00EC5B6A">
        <w:rPr>
          <w:szCs w:val="28"/>
        </w:rPr>
        <w:t xml:space="preserve">Le projet </w:t>
      </w:r>
      <w:r>
        <w:rPr>
          <w:szCs w:val="28"/>
        </w:rPr>
        <w:t>« </w:t>
      </w:r>
      <w:r w:rsidRPr="00D56580">
        <w:rPr>
          <w:b/>
          <w:szCs w:val="28"/>
        </w:rPr>
        <w:t>Ramsar Biodiversité</w:t>
      </w:r>
      <w:r>
        <w:rPr>
          <w:szCs w:val="28"/>
        </w:rPr>
        <w:t xml:space="preserve"> » rassemble institutions et associations engagées dans la préservation des espèces naturelles autour d’un enjeu commun : la pérennisation des effectifs de six espèces </w:t>
      </w:r>
      <w:r w:rsidRPr="00EC5B6A">
        <w:rPr>
          <w:szCs w:val="28"/>
        </w:rPr>
        <w:t xml:space="preserve">d'animaux menacées et de leurs habitats dans la zone Ramsar du Rhin </w:t>
      </w:r>
      <w:r w:rsidR="00D56580">
        <w:rPr>
          <w:szCs w:val="28"/>
        </w:rPr>
        <w:t>s</w:t>
      </w:r>
      <w:r w:rsidRPr="00EC5B6A">
        <w:rPr>
          <w:szCs w:val="28"/>
        </w:rPr>
        <w:t>upérieur</w:t>
      </w:r>
      <w:r w:rsidR="00D56580">
        <w:rPr>
          <w:szCs w:val="28"/>
        </w:rPr>
        <w:t>. L</w:t>
      </w:r>
      <w:r w:rsidRPr="00EC5B6A">
        <w:rPr>
          <w:szCs w:val="28"/>
        </w:rPr>
        <w:t>e vanneau huppé, la chevêche d'</w:t>
      </w:r>
      <w:r w:rsidR="00C15BAF" w:rsidRPr="00EC5B6A">
        <w:rPr>
          <w:szCs w:val="28"/>
        </w:rPr>
        <w:t>Athéna</w:t>
      </w:r>
      <w:r w:rsidRPr="00EC5B6A">
        <w:rPr>
          <w:szCs w:val="28"/>
        </w:rPr>
        <w:t xml:space="preserve">, le râle d'eau, la sterne pierregarin, le murin de Bechstein et la rainette verte </w:t>
      </w:r>
      <w:r w:rsidR="00D56580">
        <w:rPr>
          <w:szCs w:val="28"/>
        </w:rPr>
        <w:t>ont été choisis car</w:t>
      </w:r>
      <w:r w:rsidRPr="00EC5B6A">
        <w:rPr>
          <w:szCs w:val="28"/>
        </w:rPr>
        <w:t xml:space="preserve"> chacune </w:t>
      </w:r>
      <w:r w:rsidR="00D56580">
        <w:rPr>
          <w:szCs w:val="28"/>
        </w:rPr>
        <w:t>de ces espèces est représentative</w:t>
      </w:r>
      <w:r w:rsidRPr="00EC5B6A">
        <w:rPr>
          <w:szCs w:val="28"/>
        </w:rPr>
        <w:t xml:space="preserve"> d'un biotope particulier (prairial, forestier, humide, pionnier, aqua</w:t>
      </w:r>
      <w:r w:rsidR="00D56580">
        <w:rPr>
          <w:szCs w:val="28"/>
        </w:rPr>
        <w:t>tique, agricole) et révélatrice</w:t>
      </w:r>
      <w:r w:rsidRPr="00EC5B6A">
        <w:rPr>
          <w:szCs w:val="28"/>
        </w:rPr>
        <w:t xml:space="preserve"> de la bonne santé de ce milieu.</w:t>
      </w:r>
      <w:r w:rsidR="00D56580">
        <w:rPr>
          <w:szCs w:val="28"/>
        </w:rPr>
        <w:t xml:space="preserve"> Ainsi, d’ici à 2022, des aménagements inédits et exemplaires en matière de préservation des espèces seront réalisés par des experts français et allemands de part et d’autre de la frontière. Ces réalisations seront rendues publiques et pourront être reproduites sur d’autres habitats </w:t>
      </w:r>
      <w:r w:rsidR="000B26AC">
        <w:rPr>
          <w:szCs w:val="28"/>
        </w:rPr>
        <w:t>en fonction de leur impact sur les effectifs des espèces.</w:t>
      </w:r>
    </w:p>
    <w:p w14:paraId="384A50D9" w14:textId="77777777" w:rsidR="00D56580" w:rsidRPr="003E0B02" w:rsidRDefault="00D56580" w:rsidP="00D52761">
      <w:pPr>
        <w:spacing w:after="0" w:line="240" w:lineRule="auto"/>
        <w:jc w:val="both"/>
        <w:rPr>
          <w:sz w:val="16"/>
          <w:szCs w:val="28"/>
        </w:rPr>
      </w:pPr>
    </w:p>
    <w:p w14:paraId="62205905" w14:textId="244D96FC" w:rsidR="00AA44D7" w:rsidRPr="00AF4F38" w:rsidRDefault="00CE5390" w:rsidP="00AA44D7">
      <w:pPr>
        <w:spacing w:after="0" w:line="240" w:lineRule="auto"/>
        <w:jc w:val="both"/>
      </w:pPr>
      <w:r>
        <w:rPr>
          <w:b/>
        </w:rPr>
        <w:t xml:space="preserve">Porteur du projet </w:t>
      </w:r>
      <w:r w:rsidR="00AA44D7" w:rsidRPr="00AF4F38">
        <w:rPr>
          <w:b/>
        </w:rPr>
        <w:t>:</w:t>
      </w:r>
      <w:r w:rsidR="00AA44D7" w:rsidRPr="00AF4F38">
        <w:t xml:space="preserve"> Ligue</w:t>
      </w:r>
      <w:r w:rsidR="004C7586" w:rsidRPr="00AF4F38">
        <w:t xml:space="preserve"> pour la protection des oiseaux </w:t>
      </w:r>
      <w:r w:rsidR="00AA44D7" w:rsidRPr="00AF4F38">
        <w:t>(LPO)</w:t>
      </w:r>
      <w:r w:rsidR="004C7586" w:rsidRPr="00AF4F38">
        <w:t xml:space="preserve"> Alsace</w:t>
      </w:r>
    </w:p>
    <w:p w14:paraId="0E040523" w14:textId="7D795701" w:rsidR="00AA44D7" w:rsidRPr="00CE5390" w:rsidRDefault="00CE5390" w:rsidP="00AA44D7">
      <w:pPr>
        <w:spacing w:after="0" w:line="240" w:lineRule="auto"/>
        <w:jc w:val="both"/>
      </w:pPr>
      <w:r w:rsidRPr="00CE5390">
        <w:rPr>
          <w:b/>
        </w:rPr>
        <w:t xml:space="preserve">Montant du financement européen alloué </w:t>
      </w:r>
      <w:r w:rsidR="005D240C" w:rsidRPr="00CE5390">
        <w:rPr>
          <w:b/>
        </w:rPr>
        <w:t>:</w:t>
      </w:r>
      <w:r w:rsidR="004C7586" w:rsidRPr="00CE5390">
        <w:t xml:space="preserve"> 610 000</w:t>
      </w:r>
      <w:r w:rsidR="00AA44D7" w:rsidRPr="00CE5390">
        <w:t xml:space="preserve"> </w:t>
      </w:r>
      <w:r>
        <w:t>€</w:t>
      </w:r>
    </w:p>
    <w:p w14:paraId="485DE926" w14:textId="77777777" w:rsidR="001F6DB7" w:rsidRPr="00CE5390" w:rsidRDefault="001F6DB7" w:rsidP="005D240C">
      <w:pPr>
        <w:spacing w:after="0" w:line="276" w:lineRule="auto"/>
        <w:jc w:val="both"/>
        <w:rPr>
          <w:b/>
        </w:rPr>
      </w:pPr>
    </w:p>
    <w:p w14:paraId="55C63703" w14:textId="325EEB73" w:rsidR="001F6DB7" w:rsidRPr="00025643" w:rsidRDefault="00025643" w:rsidP="00A748FA">
      <w:pPr>
        <w:rPr>
          <w:b/>
          <w:color w:val="6699FF"/>
          <w:sz w:val="24"/>
          <w:szCs w:val="28"/>
        </w:rPr>
      </w:pPr>
      <w:r w:rsidRPr="00025643">
        <w:rPr>
          <w:b/>
          <w:color w:val="6699FF"/>
          <w:sz w:val="24"/>
          <w:szCs w:val="28"/>
        </w:rPr>
        <w:t>Lutte</w:t>
      </w:r>
      <w:r>
        <w:rPr>
          <w:b/>
          <w:color w:val="6699FF"/>
          <w:sz w:val="24"/>
          <w:szCs w:val="28"/>
        </w:rPr>
        <w:t>r</w:t>
      </w:r>
      <w:r w:rsidRPr="00025643">
        <w:rPr>
          <w:b/>
          <w:color w:val="6699FF"/>
          <w:sz w:val="24"/>
          <w:szCs w:val="28"/>
        </w:rPr>
        <w:t xml:space="preserve"> contre la pollution des eaux souterraines</w:t>
      </w:r>
    </w:p>
    <w:p w14:paraId="18BDD5E0" w14:textId="0E896C1D" w:rsidR="00EF0606" w:rsidRPr="00D6083D" w:rsidRDefault="00D6083D" w:rsidP="001F6DB7">
      <w:pPr>
        <w:spacing w:after="0" w:line="240" w:lineRule="auto"/>
        <w:jc w:val="both"/>
      </w:pPr>
      <w:r w:rsidRPr="00D6083D">
        <w:t>Le projet « </w:t>
      </w:r>
      <w:r w:rsidRPr="00D6083D">
        <w:rPr>
          <w:b/>
        </w:rPr>
        <w:t>NAVEBGO</w:t>
      </w:r>
      <w:r w:rsidRPr="00D6083D">
        <w:t xml:space="preserve"> » vise à réduire la présence de biocides dans la nappe phréatique du Rhin supérieur. Ces substances sont en effet </w:t>
      </w:r>
      <w:r w:rsidR="00EF0606" w:rsidRPr="00D6083D">
        <w:t>utilisé</w:t>
      </w:r>
      <w:r w:rsidRPr="00D6083D">
        <w:t>e</w:t>
      </w:r>
      <w:r w:rsidR="00EF0606" w:rsidRPr="00D6083D">
        <w:t xml:space="preserve">s sur les façades des bâtiments pour les protéger contre les algues et les attaques fongiques, </w:t>
      </w:r>
      <w:r w:rsidRPr="00D6083D">
        <w:t>et</w:t>
      </w:r>
      <w:r w:rsidR="00EF0606" w:rsidRPr="00D6083D">
        <w:t xml:space="preserve"> entrent</w:t>
      </w:r>
      <w:r w:rsidRPr="00D6083D">
        <w:t xml:space="preserve"> par ce biais</w:t>
      </w:r>
      <w:r w:rsidR="00EF0606" w:rsidRPr="00D6083D">
        <w:t xml:space="preserve"> dans le cycle de l'eau en milieu urbain et finalement dans les eaux souterraines. En coopératio</w:t>
      </w:r>
      <w:r w:rsidRPr="00D6083D">
        <w:t xml:space="preserve">n avec les municipalités de Landau, Strasbourg et Freiburg, </w:t>
      </w:r>
      <w:r w:rsidR="00EF0606" w:rsidRPr="00D6083D">
        <w:t xml:space="preserve">les </w:t>
      </w:r>
      <w:r w:rsidRPr="00D6083D">
        <w:t xml:space="preserve">partenaires du projet analyseront les </w:t>
      </w:r>
      <w:r w:rsidR="00EF0606" w:rsidRPr="00D6083D">
        <w:t>risques existants et, en conséquence,</w:t>
      </w:r>
      <w:r w:rsidRPr="00D6083D">
        <w:t xml:space="preserve"> proposeront</w:t>
      </w:r>
      <w:r w:rsidR="00EF0606" w:rsidRPr="00D6083D">
        <w:t xml:space="preserve"> des mesures efficaces permettant de ré</w:t>
      </w:r>
      <w:r w:rsidR="00C15BAF">
        <w:t>duire les risques de transfert</w:t>
      </w:r>
      <w:r w:rsidR="00EF0606" w:rsidRPr="00D6083D">
        <w:t xml:space="preserve">. Des techniques de construction permettent de limiter le développement des algues et champignons sans recourir aux biocides et </w:t>
      </w:r>
      <w:r w:rsidRPr="00D6083D">
        <w:t>pourront alors</w:t>
      </w:r>
      <w:r w:rsidR="00EF0606" w:rsidRPr="00D6083D">
        <w:t xml:space="preserve"> être intégrées par les architectes d</w:t>
      </w:r>
      <w:r w:rsidR="00C15BAF">
        <w:t xml:space="preserve">ès la conception des bâtiments. Des </w:t>
      </w:r>
      <w:r w:rsidR="00EF0606" w:rsidRPr="00D6083D">
        <w:t>produits alternatifs de protection des façades s</w:t>
      </w:r>
      <w:r w:rsidRPr="00D6083D">
        <w:t>er</w:t>
      </w:r>
      <w:r w:rsidR="00EF0606" w:rsidRPr="00D6083D">
        <w:t xml:space="preserve">ont testés du point de vue écotoxicologique </w:t>
      </w:r>
      <w:r w:rsidRPr="00D6083D">
        <w:t>à l’attention des</w:t>
      </w:r>
      <w:r w:rsidR="00EF0606" w:rsidRPr="00D6083D">
        <w:t xml:space="preserve"> artisans. </w:t>
      </w:r>
    </w:p>
    <w:p w14:paraId="45C2AFF7" w14:textId="77777777" w:rsidR="00EF0606" w:rsidRPr="00D6083D" w:rsidRDefault="00EF0606" w:rsidP="001F6DB7">
      <w:pPr>
        <w:spacing w:after="0" w:line="240" w:lineRule="auto"/>
        <w:jc w:val="both"/>
        <w:rPr>
          <w:b/>
          <w:sz w:val="16"/>
          <w:szCs w:val="16"/>
        </w:rPr>
      </w:pPr>
    </w:p>
    <w:p w14:paraId="66636413" w14:textId="6F77B2D2" w:rsidR="001F6DB7" w:rsidRPr="00CE5390" w:rsidRDefault="00CE5390" w:rsidP="001F6DB7">
      <w:pPr>
        <w:spacing w:after="0" w:line="240" w:lineRule="auto"/>
        <w:jc w:val="both"/>
      </w:pPr>
      <w:r w:rsidRPr="00CE5390">
        <w:rPr>
          <w:b/>
        </w:rPr>
        <w:t>Porteur du projet :</w:t>
      </w:r>
      <w:r w:rsidRPr="00CE5390">
        <w:t xml:space="preserve"> Universit</w:t>
      </w:r>
      <w:r>
        <w:t xml:space="preserve">é de </w:t>
      </w:r>
      <w:r w:rsidRPr="00CE5390">
        <w:t>Freiburg</w:t>
      </w:r>
    </w:p>
    <w:p w14:paraId="4E1FBFA6" w14:textId="7FBAA6FA" w:rsidR="006F2AE6" w:rsidRPr="00CE5390" w:rsidRDefault="00CE5390" w:rsidP="003E3995">
      <w:pPr>
        <w:spacing w:after="0" w:line="240" w:lineRule="auto"/>
        <w:jc w:val="both"/>
      </w:pPr>
      <w:r w:rsidRPr="00CE5390">
        <w:rPr>
          <w:b/>
        </w:rPr>
        <w:t>Montant du financement européen alloué :</w:t>
      </w:r>
      <w:r w:rsidRPr="00CE5390">
        <w:t xml:space="preserve"> </w:t>
      </w:r>
      <w:r w:rsidR="00B118C8" w:rsidRPr="00CE5390">
        <w:t>1,12 M</w:t>
      </w:r>
      <w:r w:rsidRPr="00CE5390">
        <w:t>€</w:t>
      </w:r>
    </w:p>
    <w:p w14:paraId="5C3884BF" w14:textId="77777777" w:rsidR="006F2AE6" w:rsidRPr="00CE5390" w:rsidRDefault="006F2AE6" w:rsidP="005D240C">
      <w:pPr>
        <w:spacing w:after="0" w:line="276" w:lineRule="auto"/>
        <w:jc w:val="both"/>
        <w:rPr>
          <w:b/>
        </w:rPr>
      </w:pPr>
    </w:p>
    <w:p w14:paraId="3782DC36" w14:textId="2C9100AD" w:rsidR="009F1712" w:rsidRPr="00025643" w:rsidRDefault="00025643" w:rsidP="00A748FA">
      <w:pPr>
        <w:rPr>
          <w:b/>
          <w:color w:val="6699FF"/>
          <w:sz w:val="24"/>
          <w:szCs w:val="28"/>
        </w:rPr>
      </w:pPr>
      <w:r w:rsidRPr="00025643">
        <w:rPr>
          <w:b/>
          <w:color w:val="6699FF"/>
          <w:sz w:val="24"/>
          <w:szCs w:val="28"/>
        </w:rPr>
        <w:lastRenderedPageBreak/>
        <w:t>Accroitre le recours aux énergies renouvelables</w:t>
      </w:r>
    </w:p>
    <w:p w14:paraId="58345505" w14:textId="32F5BF6F" w:rsidR="00EF0606" w:rsidRPr="00651733" w:rsidRDefault="00651733" w:rsidP="00EF0606">
      <w:pPr>
        <w:spacing w:after="0" w:line="240" w:lineRule="auto"/>
        <w:jc w:val="both"/>
        <w:rPr>
          <w:szCs w:val="28"/>
        </w:rPr>
      </w:pPr>
      <w:r w:rsidRPr="00EF0606">
        <w:rPr>
          <w:szCs w:val="28"/>
        </w:rPr>
        <w:t>Le passage aux énergies renouvelables est considéré</w:t>
      </w:r>
      <w:r w:rsidR="00E50383" w:rsidRPr="00EF0606">
        <w:rPr>
          <w:szCs w:val="28"/>
        </w:rPr>
        <w:t>, tant</w:t>
      </w:r>
      <w:r w:rsidRPr="00EF0606">
        <w:rPr>
          <w:szCs w:val="28"/>
        </w:rPr>
        <w:t xml:space="preserve"> dans le monde entier </w:t>
      </w:r>
      <w:r w:rsidR="00E50383" w:rsidRPr="00EF0606">
        <w:rPr>
          <w:szCs w:val="28"/>
        </w:rPr>
        <w:t>que dans l’espace du Rhin supérieur,</w:t>
      </w:r>
      <w:r w:rsidRPr="00EF0606">
        <w:rPr>
          <w:szCs w:val="28"/>
        </w:rPr>
        <w:t xml:space="preserve"> comme </w:t>
      </w:r>
      <w:r w:rsidR="00E50383" w:rsidRPr="00EF0606">
        <w:rPr>
          <w:szCs w:val="28"/>
        </w:rPr>
        <w:t>un enjeu majeur,</w:t>
      </w:r>
      <w:r w:rsidRPr="00EF0606">
        <w:rPr>
          <w:szCs w:val="28"/>
        </w:rPr>
        <w:t xml:space="preserve"> </w:t>
      </w:r>
      <w:r w:rsidR="00E50383" w:rsidRPr="00EF0606">
        <w:rPr>
          <w:szCs w:val="28"/>
        </w:rPr>
        <w:t xml:space="preserve">mais pose </w:t>
      </w:r>
      <w:r w:rsidRPr="00EF0606">
        <w:rPr>
          <w:szCs w:val="28"/>
        </w:rPr>
        <w:t xml:space="preserve">notamment </w:t>
      </w:r>
      <w:r w:rsidR="00E50383" w:rsidRPr="00EF0606">
        <w:rPr>
          <w:szCs w:val="28"/>
        </w:rPr>
        <w:t>la question de</w:t>
      </w:r>
      <w:r w:rsidRPr="00EF0606">
        <w:rPr>
          <w:szCs w:val="28"/>
        </w:rPr>
        <w:t xml:space="preserve"> la sécurité de l'approvisionnement et </w:t>
      </w:r>
      <w:r w:rsidR="00E50383" w:rsidRPr="00EF0606">
        <w:rPr>
          <w:szCs w:val="28"/>
        </w:rPr>
        <w:t xml:space="preserve">de </w:t>
      </w:r>
      <w:r w:rsidRPr="00EF0606">
        <w:rPr>
          <w:szCs w:val="28"/>
        </w:rPr>
        <w:t xml:space="preserve">la flexibilité des systèmes. </w:t>
      </w:r>
      <w:r w:rsidR="00EF0606" w:rsidRPr="00EF0606">
        <w:rPr>
          <w:szCs w:val="28"/>
        </w:rPr>
        <w:t>Les partenaires du projet « </w:t>
      </w:r>
      <w:r w:rsidR="00EF0606" w:rsidRPr="00EF0606">
        <w:rPr>
          <w:b/>
          <w:szCs w:val="28"/>
        </w:rPr>
        <w:t>RES_TMO</w:t>
      </w:r>
      <w:r w:rsidR="00EF0606" w:rsidRPr="00EF0606">
        <w:rPr>
          <w:szCs w:val="28"/>
        </w:rPr>
        <w:t xml:space="preserve"> » tenteront d’apporter des réponses à cette problématique en analysant la complémentarité des capacités de production, de demande et de stockage dans les trois pays du Rhin supérieur. Les conditions cadres juridiques, politiques et socioculturelles ainsi que la faisabilité économique d'un marché de l'énergie intégré sur le plan trinational seront examinées. Sur cette base, une feuille de route sera élaborée en collaboration avec des partenaires du secteur et les </w:t>
      </w:r>
      <w:r w:rsidR="00EF0606">
        <w:rPr>
          <w:szCs w:val="28"/>
        </w:rPr>
        <w:t>acteurs du secteur de l'énergie</w:t>
      </w:r>
      <w:r w:rsidR="00EF0606" w:rsidRPr="00EF0606">
        <w:rPr>
          <w:szCs w:val="28"/>
        </w:rPr>
        <w:t xml:space="preserve"> de la région du Rhin supérieur, avec des concepts, des scénarios, des outils et des recommandations d'action pour les décideurs politiques en vue d'une utilisation optimale des potentiels complémentaires et de l'intégration transfrontalière des énergies renouvelables.</w:t>
      </w:r>
    </w:p>
    <w:p w14:paraId="3607089D" w14:textId="77777777" w:rsidR="00D52761" w:rsidRPr="00651733" w:rsidRDefault="00D52761" w:rsidP="001D5B96">
      <w:pPr>
        <w:spacing w:after="0" w:line="240" w:lineRule="auto"/>
        <w:jc w:val="both"/>
        <w:rPr>
          <w:b/>
          <w:sz w:val="16"/>
          <w:szCs w:val="16"/>
        </w:rPr>
      </w:pPr>
    </w:p>
    <w:p w14:paraId="419628C4" w14:textId="22F2723C" w:rsidR="001D5B96" w:rsidRPr="00CE5390" w:rsidRDefault="00CE5390" w:rsidP="001D5B96">
      <w:pPr>
        <w:spacing w:after="0" w:line="240" w:lineRule="auto"/>
        <w:jc w:val="both"/>
      </w:pPr>
      <w:r>
        <w:rPr>
          <w:b/>
        </w:rPr>
        <w:t xml:space="preserve">Porteur du projet </w:t>
      </w:r>
      <w:r w:rsidRPr="00AF4F38">
        <w:rPr>
          <w:b/>
        </w:rPr>
        <w:t>:</w:t>
      </w:r>
      <w:r w:rsidRPr="00AF4F38">
        <w:t xml:space="preserve"> </w:t>
      </w:r>
      <w:r w:rsidR="00D52761" w:rsidRPr="00CE5390">
        <w:t>Universit</w:t>
      </w:r>
      <w:r>
        <w:t xml:space="preserve">é de </w:t>
      </w:r>
      <w:r w:rsidR="00D52761" w:rsidRPr="00CE5390">
        <w:t>Freiburg</w:t>
      </w:r>
    </w:p>
    <w:p w14:paraId="38A6D127" w14:textId="46AA1A04" w:rsidR="001D5B96" w:rsidRPr="00CE5390" w:rsidRDefault="00CE5390" w:rsidP="001D5B96">
      <w:pPr>
        <w:spacing w:after="0" w:line="240" w:lineRule="auto"/>
        <w:jc w:val="both"/>
      </w:pPr>
      <w:r w:rsidRPr="00CE5390">
        <w:rPr>
          <w:b/>
        </w:rPr>
        <w:t>Montant du financement européen alloué :</w:t>
      </w:r>
      <w:r w:rsidRPr="00CE5390">
        <w:t xml:space="preserve"> </w:t>
      </w:r>
      <w:r w:rsidR="00D52761" w:rsidRPr="00CE5390">
        <w:t>1,</w:t>
      </w:r>
      <w:r w:rsidR="0007605E">
        <w:t>41</w:t>
      </w:r>
      <w:r w:rsidR="00D52761" w:rsidRPr="00CE5390">
        <w:t xml:space="preserve"> M</w:t>
      </w:r>
      <w:r>
        <w:t>€</w:t>
      </w:r>
    </w:p>
    <w:p w14:paraId="3C46103F" w14:textId="315F6002" w:rsidR="007F1114" w:rsidRPr="00CE5390" w:rsidRDefault="007F1114" w:rsidP="005D240C">
      <w:pPr>
        <w:spacing w:after="0" w:line="276" w:lineRule="auto"/>
        <w:jc w:val="both"/>
        <w:rPr>
          <w:b/>
          <w:color w:val="6699FF"/>
          <w:szCs w:val="28"/>
        </w:rPr>
      </w:pPr>
    </w:p>
    <w:p w14:paraId="1FCF4305" w14:textId="5D2E0C33" w:rsidR="00780E77" w:rsidRPr="00025643" w:rsidRDefault="00025643" w:rsidP="009F1712">
      <w:pPr>
        <w:rPr>
          <w:b/>
          <w:color w:val="6699FF"/>
          <w:sz w:val="24"/>
          <w:szCs w:val="28"/>
        </w:rPr>
      </w:pPr>
      <w:r w:rsidRPr="00025643">
        <w:rPr>
          <w:b/>
          <w:color w:val="6699FF"/>
          <w:sz w:val="24"/>
          <w:szCs w:val="28"/>
        </w:rPr>
        <w:t>Développe</w:t>
      </w:r>
      <w:r>
        <w:rPr>
          <w:b/>
          <w:color w:val="6699FF"/>
          <w:sz w:val="24"/>
          <w:szCs w:val="28"/>
        </w:rPr>
        <w:t xml:space="preserve">r </w:t>
      </w:r>
      <w:r w:rsidRPr="00025643">
        <w:rPr>
          <w:b/>
          <w:color w:val="6699FF"/>
          <w:sz w:val="24"/>
          <w:szCs w:val="28"/>
        </w:rPr>
        <w:t>l’offre transfrontalière en matière de transports publics</w:t>
      </w:r>
    </w:p>
    <w:p w14:paraId="481E972B" w14:textId="6E74E3FA" w:rsidR="00211477" w:rsidRDefault="00211477" w:rsidP="00436811">
      <w:pPr>
        <w:spacing w:after="0" w:line="240" w:lineRule="auto"/>
        <w:contextualSpacing/>
        <w:jc w:val="both"/>
        <w:rPr>
          <w:szCs w:val="28"/>
        </w:rPr>
      </w:pPr>
      <w:r>
        <w:rPr>
          <w:szCs w:val="28"/>
        </w:rPr>
        <w:t xml:space="preserve">Le projet </w:t>
      </w:r>
      <w:r w:rsidRPr="001E6D09">
        <w:rPr>
          <w:szCs w:val="28"/>
        </w:rPr>
        <w:t>«</w:t>
      </w:r>
      <w:r w:rsidRPr="00211477">
        <w:rPr>
          <w:b/>
          <w:szCs w:val="28"/>
        </w:rPr>
        <w:t> NeuWiStra</w:t>
      </w:r>
      <w:r w:rsidRPr="001E6D09">
        <w:rPr>
          <w:szCs w:val="28"/>
        </w:rPr>
        <w:t xml:space="preserve"> » </w:t>
      </w:r>
      <w:r>
        <w:rPr>
          <w:szCs w:val="28"/>
        </w:rPr>
        <w:t xml:space="preserve">a pour objectif l’amélioration de la ligne ferroviaire entre Neustadt et Strasbourg. </w:t>
      </w:r>
      <w:r w:rsidR="00A249D1">
        <w:rPr>
          <w:szCs w:val="28"/>
        </w:rPr>
        <w:t>La faible vitesse de circulation de la ligne, due aux contraintes techniques actuelles, ne permet pas au train d’être une alternative de transport</w:t>
      </w:r>
      <w:r w:rsidR="00436811">
        <w:rPr>
          <w:szCs w:val="28"/>
        </w:rPr>
        <w:t xml:space="preserve"> compétitive</w:t>
      </w:r>
      <w:r w:rsidR="00A249D1">
        <w:rPr>
          <w:szCs w:val="28"/>
        </w:rPr>
        <w:t xml:space="preserve"> face aux véhicules motorisés. En outre, les passagers de cette ligne ferroviaire qui souhaitent traverser la frontière doivent changer de train à Wissembourg. Cette configuration est un obstacle à l’utilis</w:t>
      </w:r>
      <w:r w:rsidR="00436811">
        <w:rPr>
          <w:szCs w:val="28"/>
        </w:rPr>
        <w:t xml:space="preserve">ation du transport ferroviaire par de potentiels passagers concernés par le trajet entre Neustadt et Strasbourg. Le présent projet vise à définir et programmer toutes les mesures d’amélioration nécessaires et </w:t>
      </w:r>
      <w:r w:rsidR="00436811" w:rsidRPr="00211477">
        <w:rPr>
          <w:szCs w:val="28"/>
        </w:rPr>
        <w:t xml:space="preserve">comprend 5 études distinctes, qui seront </w:t>
      </w:r>
      <w:r w:rsidR="00436811">
        <w:rPr>
          <w:szCs w:val="28"/>
        </w:rPr>
        <w:t>chacune scindées en 2 phases.</w:t>
      </w:r>
    </w:p>
    <w:p w14:paraId="4969F7DC" w14:textId="77777777" w:rsidR="00436811" w:rsidRPr="001E6D09" w:rsidRDefault="00436811" w:rsidP="00211477">
      <w:pPr>
        <w:spacing w:after="0" w:line="276" w:lineRule="auto"/>
        <w:jc w:val="both"/>
        <w:rPr>
          <w:sz w:val="16"/>
          <w:szCs w:val="28"/>
        </w:rPr>
      </w:pPr>
    </w:p>
    <w:p w14:paraId="454CDE36" w14:textId="77777777" w:rsidR="00436811" w:rsidRPr="00A748FA" w:rsidRDefault="00436811" w:rsidP="00436811">
      <w:pPr>
        <w:spacing w:after="0" w:line="240" w:lineRule="auto"/>
        <w:jc w:val="both"/>
        <w:rPr>
          <w:b/>
        </w:rPr>
      </w:pPr>
      <w:r>
        <w:rPr>
          <w:b/>
        </w:rPr>
        <w:t xml:space="preserve">Porteur du projet </w:t>
      </w:r>
      <w:r w:rsidRPr="00AF4F38">
        <w:rPr>
          <w:b/>
        </w:rPr>
        <w:t>:</w:t>
      </w:r>
      <w:r w:rsidRPr="00AF4F38">
        <w:t xml:space="preserve"> </w:t>
      </w:r>
      <w:r w:rsidRPr="00A748FA">
        <w:t>SNCF Réseau</w:t>
      </w:r>
      <w:r>
        <w:t>,</w:t>
      </w:r>
      <w:r w:rsidRPr="00A748FA">
        <w:t xml:space="preserve"> D</w:t>
      </w:r>
      <w:r>
        <w:t>irection territoriale Grand Est</w:t>
      </w:r>
    </w:p>
    <w:p w14:paraId="30F58D91" w14:textId="77777777" w:rsidR="00436811" w:rsidRPr="00CE5390" w:rsidRDefault="00436811" w:rsidP="00436811">
      <w:pPr>
        <w:spacing w:after="0" w:line="240" w:lineRule="auto"/>
        <w:jc w:val="both"/>
        <w:rPr>
          <w:b/>
        </w:rPr>
      </w:pPr>
      <w:r w:rsidRPr="00CE5390">
        <w:rPr>
          <w:b/>
        </w:rPr>
        <w:t>Montant du financement européen alloué :</w:t>
      </w:r>
      <w:r w:rsidRPr="00CE5390">
        <w:t xml:space="preserve"> 1,25 </w:t>
      </w:r>
      <w:r>
        <w:t>M€</w:t>
      </w:r>
    </w:p>
    <w:p w14:paraId="1CC6532F" w14:textId="77777777" w:rsidR="00211477" w:rsidRDefault="00211477" w:rsidP="00211477">
      <w:pPr>
        <w:spacing w:after="0" w:line="276" w:lineRule="auto"/>
        <w:jc w:val="both"/>
        <w:rPr>
          <w:szCs w:val="28"/>
        </w:rPr>
      </w:pPr>
    </w:p>
    <w:p w14:paraId="70398278" w14:textId="5A3C85B6" w:rsidR="00C857FA" w:rsidRPr="00C857FA" w:rsidRDefault="00C857FA" w:rsidP="00C857FA">
      <w:pPr>
        <w:spacing w:after="0" w:line="240" w:lineRule="auto"/>
        <w:contextualSpacing/>
        <w:jc w:val="both"/>
        <w:rPr>
          <w:szCs w:val="28"/>
        </w:rPr>
      </w:pPr>
      <w:r>
        <w:t xml:space="preserve">Le projet </w:t>
      </w:r>
      <w:r w:rsidRPr="001E6D09">
        <w:t>«</w:t>
      </w:r>
      <w:r w:rsidRPr="00C857FA">
        <w:rPr>
          <w:b/>
        </w:rPr>
        <w:t> Etude de mobilité multimodale - Liaison Colmar Fribourg </w:t>
      </w:r>
      <w:r w:rsidRPr="001E6D09">
        <w:t>»</w:t>
      </w:r>
      <w:r>
        <w:rPr>
          <w:b/>
        </w:rPr>
        <w:t xml:space="preserve"> </w:t>
      </w:r>
      <w:r w:rsidR="00054A3E">
        <w:t>a pour objectif d</w:t>
      </w:r>
      <w:r>
        <w:t>’</w:t>
      </w:r>
      <w:r w:rsidR="00392EF9">
        <w:t xml:space="preserve">étudier le potentiel </w:t>
      </w:r>
      <w:r>
        <w:t xml:space="preserve">de réhabilitation de cette ligne </w:t>
      </w:r>
      <w:r w:rsidR="00054A3E">
        <w:t xml:space="preserve">ferroviaire </w:t>
      </w:r>
      <w:r>
        <w:t xml:space="preserve">détruite en 1945. Dans le cadre du projet, les partenaires </w:t>
      </w:r>
      <w:r w:rsidR="00E15488">
        <w:t xml:space="preserve">analyseront </w:t>
      </w:r>
      <w:r>
        <w:t>les</w:t>
      </w:r>
      <w:r w:rsidR="00BE0C7E">
        <w:t xml:space="preserve"> besoins de mobilité à l’</w:t>
      </w:r>
      <w:r w:rsidR="00054A3E">
        <w:t>échelle transfrontalière</w:t>
      </w:r>
      <w:r w:rsidR="00623EC3" w:rsidRPr="00623EC3">
        <w:rPr>
          <w:szCs w:val="28"/>
        </w:rPr>
        <w:t xml:space="preserve"> </w:t>
      </w:r>
      <w:r w:rsidR="00623EC3">
        <w:rPr>
          <w:szCs w:val="28"/>
        </w:rPr>
        <w:t>dans</w:t>
      </w:r>
      <w:r w:rsidR="00623EC3" w:rsidRPr="00C857FA">
        <w:rPr>
          <w:szCs w:val="28"/>
        </w:rPr>
        <w:t xml:space="preserve"> les bassins compris entre les agglomérations de Colmar et de Fribourg</w:t>
      </w:r>
      <w:r w:rsidR="00054A3E">
        <w:t>, en étudiant quels moyens de transport sont utilisés par les habitants pour ce trajet et dans quell</w:t>
      </w:r>
      <w:r w:rsidR="00623EC3">
        <w:t xml:space="preserve">e mesure la proportion de transports doux pourrait être augmentée. </w:t>
      </w:r>
      <w:r w:rsidR="00623EC3" w:rsidRPr="00C857FA">
        <w:rPr>
          <w:szCs w:val="28"/>
        </w:rPr>
        <w:t>Il s’agira également d’étudier comment cette liaison ferroviaire pourra</w:t>
      </w:r>
      <w:r w:rsidR="00495C8D">
        <w:rPr>
          <w:szCs w:val="28"/>
        </w:rPr>
        <w:t>it</w:t>
      </w:r>
      <w:r w:rsidR="00623EC3" w:rsidRPr="00C857FA">
        <w:rPr>
          <w:szCs w:val="28"/>
        </w:rPr>
        <w:t xml:space="preserve"> être connectée à d’autres modes de transport.</w:t>
      </w:r>
    </w:p>
    <w:p w14:paraId="694F24A3" w14:textId="77777777" w:rsidR="00C857FA" w:rsidRPr="001E6D09" w:rsidRDefault="00C857FA" w:rsidP="00C857FA">
      <w:pPr>
        <w:spacing w:after="0" w:line="240" w:lineRule="auto"/>
        <w:jc w:val="both"/>
        <w:rPr>
          <w:sz w:val="16"/>
          <w:szCs w:val="28"/>
        </w:rPr>
      </w:pPr>
    </w:p>
    <w:p w14:paraId="757410DD" w14:textId="2602EDC5" w:rsidR="00AF09A5" w:rsidRPr="00CE5390" w:rsidRDefault="00CE5390" w:rsidP="008D2FFC">
      <w:pPr>
        <w:spacing w:after="0" w:line="240" w:lineRule="auto"/>
        <w:jc w:val="both"/>
        <w:rPr>
          <w:b/>
        </w:rPr>
      </w:pPr>
      <w:r>
        <w:rPr>
          <w:b/>
        </w:rPr>
        <w:t xml:space="preserve">Porteur du projet </w:t>
      </w:r>
      <w:r w:rsidRPr="00AF4F38">
        <w:rPr>
          <w:b/>
        </w:rPr>
        <w:t>:</w:t>
      </w:r>
      <w:r w:rsidRPr="00AF4F38">
        <w:t xml:space="preserve"> </w:t>
      </w:r>
      <w:r w:rsidR="004227CF" w:rsidRPr="00CE5390">
        <w:t xml:space="preserve">Direction Régionale de l’Environnement, de l’Aménagement et du Logement </w:t>
      </w:r>
      <w:r>
        <w:t xml:space="preserve">(DREAL) </w:t>
      </w:r>
      <w:r w:rsidR="004227CF" w:rsidRPr="00CE5390">
        <w:t>Grand Est</w:t>
      </w:r>
    </w:p>
    <w:p w14:paraId="49D6BC00" w14:textId="427378D8" w:rsidR="00AF09A5" w:rsidRPr="00CE5390" w:rsidRDefault="00CE5390" w:rsidP="008D2FFC">
      <w:pPr>
        <w:spacing w:after="0" w:line="240" w:lineRule="auto"/>
        <w:jc w:val="both"/>
        <w:rPr>
          <w:b/>
        </w:rPr>
      </w:pPr>
      <w:r w:rsidRPr="00CE5390">
        <w:rPr>
          <w:b/>
        </w:rPr>
        <w:t>Montant du financement européen alloué :</w:t>
      </w:r>
      <w:r w:rsidRPr="00CE5390">
        <w:t xml:space="preserve"> </w:t>
      </w:r>
      <w:r w:rsidR="00AF09A5" w:rsidRPr="00CE5390">
        <w:t xml:space="preserve">175 000 </w:t>
      </w:r>
      <w:r>
        <w:t>€</w:t>
      </w:r>
    </w:p>
    <w:p w14:paraId="5A3F4F6C" w14:textId="77777777" w:rsidR="00AF09A5" w:rsidRPr="00CE5390" w:rsidRDefault="00AF09A5" w:rsidP="005D240C">
      <w:pPr>
        <w:spacing w:after="0" w:line="276" w:lineRule="auto"/>
        <w:jc w:val="both"/>
        <w:rPr>
          <w:b/>
          <w:color w:val="6699FF"/>
          <w:szCs w:val="28"/>
        </w:rPr>
      </w:pPr>
    </w:p>
    <w:p w14:paraId="7A18CAC9" w14:textId="081FCCC0" w:rsidR="008639EB" w:rsidRPr="00E15488" w:rsidRDefault="00025643" w:rsidP="00A748FA">
      <w:pPr>
        <w:rPr>
          <w:b/>
          <w:color w:val="6699FF"/>
          <w:sz w:val="24"/>
          <w:szCs w:val="28"/>
        </w:rPr>
      </w:pPr>
      <w:r w:rsidRPr="00E15488">
        <w:rPr>
          <w:b/>
          <w:color w:val="6699FF"/>
          <w:sz w:val="24"/>
          <w:szCs w:val="28"/>
        </w:rPr>
        <w:t>Augmenter l’emploi transfrontalier</w:t>
      </w:r>
    </w:p>
    <w:p w14:paraId="20F70631" w14:textId="6BCA065E" w:rsidR="00495C8D" w:rsidRDefault="00495C8D" w:rsidP="00D52857">
      <w:pPr>
        <w:spacing w:after="0" w:line="240" w:lineRule="auto"/>
        <w:jc w:val="both"/>
      </w:pPr>
      <w:r>
        <w:t>Le projet « </w:t>
      </w:r>
      <w:r w:rsidRPr="00E15488">
        <w:rPr>
          <w:b/>
        </w:rPr>
        <w:t>Tremplin sur le Rhin</w:t>
      </w:r>
      <w:r>
        <w:t> » vise à développer l’emploi transfrontalier dans le secteur Strasbourg-Ortenau. Les candidats français se heurtent encore aujourd’hui à quelques obstacles</w:t>
      </w:r>
      <w:r w:rsidR="00751785">
        <w:t xml:space="preserve"> dans la recherche d’emploi en Allemagne. Les différents systèmes de formation en France et en Allemagne rendent difficile la reconnaissance des compétences professionnelles par les employeurs du pays voisin. En outre, la plupart des candidats manque également de connaissances suffisantes en allemand. Dans le cadre du projet, les partenaires travaillent à la suppression de ces obstacles. </w:t>
      </w:r>
      <w:r w:rsidR="00E15488">
        <w:t>Dans ce contexte, d</w:t>
      </w:r>
      <w:r w:rsidR="00751785">
        <w:t>es offres de formation transfrontalières dans des secteurs clés, à l’aide desquelles les candidats français pourront enrichir leur profil professionnel</w:t>
      </w:r>
      <w:r w:rsidR="00E15488">
        <w:t>, seront développées</w:t>
      </w:r>
      <w:r w:rsidR="00751785">
        <w:t>.</w:t>
      </w:r>
    </w:p>
    <w:p w14:paraId="27042339" w14:textId="77777777" w:rsidR="00495C8D" w:rsidRPr="001E6D09" w:rsidRDefault="00495C8D" w:rsidP="00D52857">
      <w:pPr>
        <w:spacing w:after="0" w:line="240" w:lineRule="auto"/>
        <w:jc w:val="both"/>
        <w:rPr>
          <w:sz w:val="16"/>
        </w:rPr>
      </w:pPr>
    </w:p>
    <w:p w14:paraId="1F372C37" w14:textId="4364DDB3" w:rsidR="00D52857" w:rsidRPr="00AF4F38" w:rsidRDefault="00CE5390" w:rsidP="00D52857">
      <w:pPr>
        <w:spacing w:after="0" w:line="240" w:lineRule="auto"/>
        <w:jc w:val="both"/>
      </w:pPr>
      <w:r>
        <w:rPr>
          <w:b/>
        </w:rPr>
        <w:t xml:space="preserve">Porteur du projet </w:t>
      </w:r>
      <w:r w:rsidRPr="00AF4F38">
        <w:rPr>
          <w:b/>
        </w:rPr>
        <w:t>:</w:t>
      </w:r>
      <w:r w:rsidRPr="00AF4F38">
        <w:t xml:space="preserve"> </w:t>
      </w:r>
      <w:r w:rsidR="00D52857" w:rsidRPr="00AF4F38">
        <w:t>Maison de l'Emploi et de la Formation du bassin de Strasbourg</w:t>
      </w:r>
    </w:p>
    <w:p w14:paraId="10C3614C" w14:textId="2C001EAE" w:rsidR="008E1D83" w:rsidRPr="00CE5390" w:rsidRDefault="00CE5390" w:rsidP="00510D09">
      <w:pPr>
        <w:spacing w:after="0" w:line="240" w:lineRule="auto"/>
        <w:jc w:val="both"/>
      </w:pPr>
      <w:r w:rsidRPr="00CE5390">
        <w:rPr>
          <w:b/>
        </w:rPr>
        <w:t>Montant du financement européen alloué :</w:t>
      </w:r>
      <w:r w:rsidRPr="00CE5390">
        <w:t xml:space="preserve"> </w:t>
      </w:r>
      <w:r w:rsidR="00D52857" w:rsidRPr="00CE5390">
        <w:t xml:space="preserve">728 </w:t>
      </w:r>
      <w:r w:rsidR="00AD1EA2" w:rsidRPr="00CE5390">
        <w:t>00</w:t>
      </w:r>
      <w:r w:rsidR="00D52857" w:rsidRPr="00CE5390">
        <w:t xml:space="preserve">0 </w:t>
      </w:r>
      <w:r>
        <w:t>€</w:t>
      </w:r>
    </w:p>
    <w:p w14:paraId="2E315328" w14:textId="77777777" w:rsidR="001E6D09" w:rsidRDefault="001E6D09" w:rsidP="005D240C">
      <w:pPr>
        <w:spacing w:after="0" w:line="276" w:lineRule="auto"/>
        <w:jc w:val="both"/>
        <w:rPr>
          <w:b/>
          <w:color w:val="6699FF"/>
          <w:szCs w:val="28"/>
        </w:rPr>
      </w:pPr>
    </w:p>
    <w:p w14:paraId="0F62F061" w14:textId="77777777" w:rsidR="003E0B02" w:rsidRDefault="003E0B02" w:rsidP="005D240C">
      <w:pPr>
        <w:spacing w:after="0" w:line="276" w:lineRule="auto"/>
        <w:jc w:val="both"/>
        <w:rPr>
          <w:b/>
          <w:color w:val="6699FF"/>
          <w:szCs w:val="28"/>
        </w:rPr>
      </w:pPr>
    </w:p>
    <w:p w14:paraId="61AC855D" w14:textId="77777777" w:rsidR="003E0B02" w:rsidRPr="00CE5390" w:rsidRDefault="003E0B02" w:rsidP="005D240C">
      <w:pPr>
        <w:spacing w:after="0" w:line="276" w:lineRule="auto"/>
        <w:jc w:val="both"/>
        <w:rPr>
          <w:b/>
          <w:color w:val="6699FF"/>
          <w:szCs w:val="28"/>
        </w:rPr>
      </w:pPr>
    </w:p>
    <w:p w14:paraId="72D82031" w14:textId="35AAD292" w:rsidR="007E58B1" w:rsidRPr="00025643" w:rsidRDefault="00585002" w:rsidP="00A748FA">
      <w:pPr>
        <w:rPr>
          <w:b/>
          <w:color w:val="6699FF"/>
          <w:sz w:val="24"/>
          <w:szCs w:val="28"/>
        </w:rPr>
      </w:pPr>
      <w:r>
        <w:rPr>
          <w:b/>
          <w:color w:val="6699FF"/>
          <w:sz w:val="24"/>
          <w:szCs w:val="28"/>
        </w:rPr>
        <w:lastRenderedPageBreak/>
        <w:t>Améliorer la qualité du service public grâce au transfrontalier</w:t>
      </w:r>
    </w:p>
    <w:p w14:paraId="393AB7C0" w14:textId="5652D039" w:rsidR="00C356EE" w:rsidRPr="00E06D74" w:rsidRDefault="00C356EE" w:rsidP="00510D09">
      <w:pPr>
        <w:spacing w:after="0" w:line="240" w:lineRule="auto"/>
        <w:jc w:val="both"/>
      </w:pPr>
      <w:r w:rsidRPr="00E06D74">
        <w:t>Le hameau de Wengelsbach est alimenté par une source unique, actuellement polluée à l’arsenic. Pour protéger la santé de ses habitants, de l’eau embouteillée est régulièrement distribuée à la population. Cette source doit être définitivement abandonnée mais les so</w:t>
      </w:r>
      <w:r w:rsidR="001E6D09">
        <w:t>lutions alternatives envisagées</w:t>
      </w:r>
      <w:r w:rsidRPr="00E06D74">
        <w:t xml:space="preserve"> ne sont pas finançables par si peu d’habitants. La coopération transfrontalière apporte ici une solution moins coûteuse et plus facile à réaliser avec la pose d'une conduite d'interconnexion entre Wengelsbach et la commune allemande Schoenau. Cette conduite sera posée dans un chemin rural transformé prochainement en piste cyclable dans le cadre du développement transfrontalier des infrastructures vélo. Les habitants du hameau, mais aussi les cyclistes et randonneurs pourront, grâce aux travaux menés, profiter </w:t>
      </w:r>
      <w:r w:rsidR="008820A8" w:rsidRPr="00E06D74">
        <w:t>d’une « </w:t>
      </w:r>
      <w:r w:rsidR="008820A8" w:rsidRPr="00E06D74">
        <w:rPr>
          <w:b/>
        </w:rPr>
        <w:t>Eau potable sans frontière</w:t>
      </w:r>
      <w:r w:rsidR="008820A8" w:rsidRPr="00E06D74">
        <w:t> »</w:t>
      </w:r>
      <w:r w:rsidRPr="00E06D74">
        <w:t xml:space="preserve"> </w:t>
      </w:r>
      <w:r w:rsidR="008820A8" w:rsidRPr="00E06D74">
        <w:t xml:space="preserve">disponible au robinet et mise à disposition par </w:t>
      </w:r>
      <w:r w:rsidRPr="00E06D74">
        <w:t>une fontaine à boire</w:t>
      </w:r>
      <w:r w:rsidR="008820A8" w:rsidRPr="00E06D74">
        <w:t xml:space="preserve"> posée</w:t>
      </w:r>
      <w:r w:rsidRPr="00E06D74">
        <w:t xml:space="preserve"> </w:t>
      </w:r>
      <w:r w:rsidR="008820A8" w:rsidRPr="00E06D74">
        <w:t>sur le tracé de la piste cyclable prochainement construite</w:t>
      </w:r>
      <w:r w:rsidRPr="00E06D74">
        <w:t>.</w:t>
      </w:r>
    </w:p>
    <w:p w14:paraId="1CA81665" w14:textId="77777777" w:rsidR="00C356EE" w:rsidRPr="00C356EE" w:rsidRDefault="00C356EE" w:rsidP="00510D09">
      <w:pPr>
        <w:spacing w:after="0" w:line="240" w:lineRule="auto"/>
        <w:jc w:val="both"/>
        <w:rPr>
          <w:sz w:val="16"/>
          <w:szCs w:val="16"/>
        </w:rPr>
      </w:pPr>
    </w:p>
    <w:p w14:paraId="3A926366" w14:textId="7F38ED5F" w:rsidR="005A21D0" w:rsidRPr="00AF4F38" w:rsidRDefault="00CE5390" w:rsidP="005A21D0">
      <w:pPr>
        <w:spacing w:after="0" w:line="240" w:lineRule="auto"/>
        <w:jc w:val="both"/>
      </w:pPr>
      <w:r>
        <w:rPr>
          <w:b/>
        </w:rPr>
        <w:t xml:space="preserve">Porteur du projet </w:t>
      </w:r>
      <w:r w:rsidRPr="00AF4F38">
        <w:rPr>
          <w:b/>
        </w:rPr>
        <w:t>:</w:t>
      </w:r>
      <w:r w:rsidRPr="00AF4F38">
        <w:t xml:space="preserve"> </w:t>
      </w:r>
      <w:r w:rsidR="005A21D0" w:rsidRPr="00AF4F38">
        <w:t xml:space="preserve">Syndicat des Eaux et de l’Assainissement </w:t>
      </w:r>
      <w:r>
        <w:t xml:space="preserve">(SDEA) </w:t>
      </w:r>
      <w:r w:rsidR="005A21D0" w:rsidRPr="00AF4F38">
        <w:t>Alsace</w:t>
      </w:r>
      <w:r>
        <w:t>-</w:t>
      </w:r>
      <w:r w:rsidR="005A21D0" w:rsidRPr="00AF4F38">
        <w:t>Moselle</w:t>
      </w:r>
    </w:p>
    <w:p w14:paraId="6BFE85D6" w14:textId="3828EBE6" w:rsidR="005A21D0" w:rsidRPr="00CE5390" w:rsidRDefault="00CE5390" w:rsidP="005A21D0">
      <w:pPr>
        <w:spacing w:after="0" w:line="240" w:lineRule="auto"/>
        <w:jc w:val="both"/>
      </w:pPr>
      <w:r w:rsidRPr="00CE5390">
        <w:rPr>
          <w:b/>
        </w:rPr>
        <w:t>Montant du financement européen alloué :</w:t>
      </w:r>
      <w:r w:rsidRPr="00CE5390">
        <w:t xml:space="preserve"> </w:t>
      </w:r>
      <w:r w:rsidR="0081593A" w:rsidRPr="00CE5390">
        <w:t>457 000 Euro</w:t>
      </w:r>
    </w:p>
    <w:p w14:paraId="327857AF" w14:textId="77777777" w:rsidR="008E1D83" w:rsidRPr="00CE5390" w:rsidRDefault="008E1D83" w:rsidP="005D240C">
      <w:pPr>
        <w:spacing w:after="0" w:line="276" w:lineRule="auto"/>
        <w:jc w:val="both"/>
        <w:rPr>
          <w:color w:val="6699FF"/>
          <w:szCs w:val="28"/>
        </w:rPr>
      </w:pPr>
    </w:p>
    <w:p w14:paraId="6CC7CFC7" w14:textId="38013FCB" w:rsidR="00BC3851" w:rsidRPr="00BC3851" w:rsidRDefault="00BC3851" w:rsidP="00BC3851">
      <w:pPr>
        <w:spacing w:after="0" w:line="240" w:lineRule="auto"/>
        <w:jc w:val="both"/>
      </w:pPr>
      <w:r w:rsidRPr="00BC3851">
        <w:t xml:space="preserve">L’Eurodistrict </w:t>
      </w:r>
      <w:r w:rsidRPr="00D17110">
        <w:rPr>
          <w:b/>
        </w:rPr>
        <w:t>PAMINA</w:t>
      </w:r>
      <w:r w:rsidRPr="00BC3851">
        <w:t xml:space="preserve"> et ses partenaires se sont quant à eux lancés le défi de travailler ensemble au </w:t>
      </w:r>
      <w:r w:rsidRPr="00D17110">
        <w:rPr>
          <w:b/>
        </w:rPr>
        <w:t>développement d’une offre de soins de proximité</w:t>
      </w:r>
      <w:r w:rsidRPr="00BC3851">
        <w:t xml:space="preserve"> dans le bassin de vie PA</w:t>
      </w:r>
      <w:r>
        <w:t>-</w:t>
      </w:r>
      <w:r w:rsidRPr="00BC3851">
        <w:t>MI</w:t>
      </w:r>
      <w:r>
        <w:t>-</w:t>
      </w:r>
      <w:r w:rsidRPr="00BC3851">
        <w:t>NA</w:t>
      </w:r>
      <w:r w:rsidR="001E6D09">
        <w:t xml:space="preserve"> (Palatinat – Mitt</w:t>
      </w:r>
      <w:r>
        <w:t>lerer Oberrhein – Nor</w:t>
      </w:r>
      <w:r w:rsidR="00D17110">
        <w:t>d</w:t>
      </w:r>
      <w:r>
        <w:t>-Alsace)</w:t>
      </w:r>
      <w:r w:rsidR="00D17110">
        <w:t xml:space="preserve">. </w:t>
      </w:r>
      <w:r w:rsidR="00D17110" w:rsidRPr="00BC3851">
        <w:t xml:space="preserve">Pour répondre à ces problématiques </w:t>
      </w:r>
      <w:r w:rsidR="00D17110">
        <w:t xml:space="preserve">qui concerne aussi bien les soins hospitaliers que la médecine de ville, </w:t>
      </w:r>
      <w:r w:rsidR="00D17110" w:rsidRPr="00BC3851">
        <w:t xml:space="preserve">et </w:t>
      </w:r>
      <w:r w:rsidR="00D17110">
        <w:t xml:space="preserve">ainsi </w:t>
      </w:r>
      <w:r w:rsidR="00D17110" w:rsidRPr="00BC3851">
        <w:t xml:space="preserve">améliorer l’offre de soins commune, </w:t>
      </w:r>
      <w:r w:rsidR="00D17110">
        <w:t>le projet</w:t>
      </w:r>
      <w:r w:rsidR="00D17110" w:rsidRPr="00BC3851">
        <w:t xml:space="preserve"> </w:t>
      </w:r>
      <w:r w:rsidR="00D17110">
        <w:t xml:space="preserve">permettra de </w:t>
      </w:r>
      <w:r w:rsidR="00D17110" w:rsidRPr="00BC3851">
        <w:t>systématiser la coopération sur les questions juridiques et administratives des acteurs de la santé</w:t>
      </w:r>
      <w:r w:rsidR="00D17110">
        <w:t>, dans le but</w:t>
      </w:r>
      <w:r w:rsidR="00D17110" w:rsidRPr="00BC3851">
        <w:t xml:space="preserve"> d'attirer les praticiens médicaux dans </w:t>
      </w:r>
      <w:r w:rsidR="00D17110">
        <w:t>cet espace transfrontalier</w:t>
      </w:r>
      <w:r w:rsidR="00D17110" w:rsidRPr="00BC3851">
        <w:t xml:space="preserve"> et simplifier la prise en charge financière des soins médicaux transfrontaliers</w:t>
      </w:r>
      <w:r w:rsidR="00D17110">
        <w:t xml:space="preserve"> pour les patients</w:t>
      </w:r>
      <w:r w:rsidR="00D17110" w:rsidRPr="00BC3851">
        <w:t>. Tous ces éléments s</w:t>
      </w:r>
      <w:r w:rsidR="00D17110">
        <w:t>er</w:t>
      </w:r>
      <w:r w:rsidR="00D17110" w:rsidRPr="00BC3851">
        <w:t>ont constitutifs, à moyen terme, d'un schéma de services transfr</w:t>
      </w:r>
      <w:r w:rsidR="00D17110">
        <w:t xml:space="preserve">ontalier pour l'accès aux soins, auquel aura contribué </w:t>
      </w:r>
      <w:r w:rsidRPr="00BC3851">
        <w:t>l’ensemble des acteurs de la santé du territoire, en particulier avec les hôpitaux, les praticiens médicaux et les caisses d’assurance maladie</w:t>
      </w:r>
      <w:r w:rsidR="00D17110">
        <w:t>.</w:t>
      </w:r>
    </w:p>
    <w:p w14:paraId="16368253" w14:textId="77777777" w:rsidR="00A748FA" w:rsidRPr="00BC3851" w:rsidRDefault="00A748FA" w:rsidP="00510D09">
      <w:pPr>
        <w:spacing w:after="0" w:line="240" w:lineRule="auto"/>
        <w:jc w:val="both"/>
        <w:rPr>
          <w:sz w:val="16"/>
          <w:szCs w:val="16"/>
        </w:rPr>
      </w:pPr>
    </w:p>
    <w:p w14:paraId="175611E7" w14:textId="7BD966EB" w:rsidR="00314E44" w:rsidRPr="00CE5390" w:rsidRDefault="00CE5390" w:rsidP="00314E44">
      <w:pPr>
        <w:spacing w:after="0" w:line="240" w:lineRule="auto"/>
        <w:jc w:val="both"/>
      </w:pPr>
      <w:r>
        <w:rPr>
          <w:b/>
        </w:rPr>
        <w:t xml:space="preserve">Porteur du projet </w:t>
      </w:r>
      <w:r w:rsidRPr="00AF4F38">
        <w:rPr>
          <w:b/>
        </w:rPr>
        <w:t>:</w:t>
      </w:r>
      <w:r w:rsidRPr="00AF4F38">
        <w:t xml:space="preserve"> </w:t>
      </w:r>
      <w:r w:rsidR="00314E44" w:rsidRPr="00CE5390">
        <w:t>Eurodistri</w:t>
      </w:r>
      <w:r w:rsidRPr="00CE5390">
        <w:t>c</w:t>
      </w:r>
      <w:r w:rsidR="00314E44" w:rsidRPr="00CE5390">
        <w:t>t PAMINA</w:t>
      </w:r>
    </w:p>
    <w:p w14:paraId="21686A17" w14:textId="32852F9B" w:rsidR="002D49A8" w:rsidRPr="003E0B02" w:rsidRDefault="00CE5390" w:rsidP="003225BC">
      <w:pPr>
        <w:spacing w:after="0" w:line="240" w:lineRule="auto"/>
        <w:jc w:val="both"/>
      </w:pPr>
      <w:r w:rsidRPr="00CE5390">
        <w:rPr>
          <w:b/>
        </w:rPr>
        <w:t>Montant du financement européen alloué :</w:t>
      </w:r>
      <w:r w:rsidRPr="00CE5390">
        <w:t xml:space="preserve"> </w:t>
      </w:r>
      <w:r w:rsidR="00FD7FC2" w:rsidRPr="00CE5390">
        <w:t>393</w:t>
      </w:r>
      <w:r w:rsidR="00314E44" w:rsidRPr="00CE5390">
        <w:t xml:space="preserve"> 000 </w:t>
      </w:r>
      <w:r>
        <w:t>€</w:t>
      </w:r>
    </w:p>
    <w:p w14:paraId="38589EF0" w14:textId="77777777" w:rsidR="00FA4776" w:rsidRPr="00AC0F6D" w:rsidRDefault="00FA4776" w:rsidP="003225BC">
      <w:pPr>
        <w:spacing w:after="0" w:line="240" w:lineRule="auto"/>
        <w:jc w:val="both"/>
      </w:pPr>
    </w:p>
    <w:p w14:paraId="3A801996" w14:textId="77777777" w:rsidR="003E0B02" w:rsidRPr="00AC0F6D" w:rsidRDefault="003E0B02" w:rsidP="003225BC">
      <w:pPr>
        <w:spacing w:after="0" w:line="240" w:lineRule="auto"/>
        <w:jc w:val="both"/>
      </w:pPr>
    </w:p>
    <w:p w14:paraId="2C4016D5" w14:textId="76358286" w:rsidR="00A95B2C" w:rsidRPr="00CE5390" w:rsidRDefault="00CE5390" w:rsidP="008D76F8">
      <w:pPr>
        <w:spacing w:after="0" w:line="240" w:lineRule="auto"/>
        <w:jc w:val="both"/>
        <w:rPr>
          <w:b/>
          <w:sz w:val="28"/>
          <w:szCs w:val="28"/>
        </w:rPr>
      </w:pPr>
      <w:r>
        <w:rPr>
          <w:b/>
          <w:color w:val="6699FF"/>
          <w:sz w:val="28"/>
          <w:szCs w:val="28"/>
        </w:rPr>
        <w:t>INTERREG Rhin Supérieur, un</w:t>
      </w:r>
      <w:r w:rsidRPr="00CE5390">
        <w:rPr>
          <w:b/>
          <w:color w:val="6699FF"/>
          <w:sz w:val="28"/>
          <w:szCs w:val="28"/>
        </w:rPr>
        <w:t xml:space="preserve"> programme européen au service de la coopération transfrontalière</w:t>
      </w:r>
    </w:p>
    <w:p w14:paraId="05ED504E" w14:textId="77777777" w:rsidR="001E68BF" w:rsidRPr="00CE5390" w:rsidRDefault="001E68BF" w:rsidP="003225BC">
      <w:pPr>
        <w:spacing w:after="0" w:line="240" w:lineRule="auto"/>
        <w:jc w:val="both"/>
      </w:pPr>
    </w:p>
    <w:p w14:paraId="4F7989A2" w14:textId="30CCD82D" w:rsidR="002344FF" w:rsidRDefault="002344FF" w:rsidP="002344FF">
      <w:pPr>
        <w:spacing w:after="0" w:line="240" w:lineRule="auto"/>
        <w:jc w:val="both"/>
      </w:pPr>
      <w:r>
        <w:t xml:space="preserve">Le Comité de suivi du </w:t>
      </w:r>
      <w:r>
        <w:rPr>
          <w:b/>
        </w:rPr>
        <w:t>programme INTERREG V Rhin Supérieur</w:t>
      </w:r>
      <w:r>
        <w:t xml:space="preserve"> réunit les représentants politiques du Sud-Palatinat, du pays de Bade, d’Alsace et de Suisse du nord-ouest, à qui la gestion des fonds alloués au territoire a été déléguée par l’UE. Ce comité accorde un cofinancement européen aux projets qui revêtent un caractère particulièrement structurant pour la région transfrontalière du Rhin supérieur. Le programme dispose pour la période 2014-2020 de 109,7 millions d’euros issus du Fonds européen de développement régional (FEDER). Depuis 2014, </w:t>
      </w:r>
      <w:r w:rsidR="00A9319E">
        <w:t>98</w:t>
      </w:r>
      <w:r>
        <w:t xml:space="preserve"> projets ont déjà été programmés. Près de </w:t>
      </w:r>
      <w:r w:rsidRPr="0007605E">
        <w:t>4</w:t>
      </w:r>
      <w:r w:rsidR="0007605E" w:rsidRPr="0007605E">
        <w:t>0</w:t>
      </w:r>
      <w:r>
        <w:t xml:space="preserve"> millions d'euros sont en outre encore à disposition de nouveaux projets jusqu’en 2020.</w:t>
      </w:r>
    </w:p>
    <w:p w14:paraId="15C4585F" w14:textId="77777777" w:rsidR="00611EE4" w:rsidRDefault="00611EE4" w:rsidP="00894C67">
      <w:pPr>
        <w:spacing w:after="0" w:line="240" w:lineRule="auto"/>
        <w:jc w:val="both"/>
      </w:pPr>
    </w:p>
    <w:p w14:paraId="0DF309B8" w14:textId="77777777" w:rsidR="00AC0F6D" w:rsidRDefault="00AC0F6D" w:rsidP="00894C67">
      <w:pPr>
        <w:spacing w:after="0" w:line="240" w:lineRule="auto"/>
        <w:jc w:val="both"/>
      </w:pPr>
    </w:p>
    <w:p w14:paraId="3FC87E82" w14:textId="77777777" w:rsidR="00AC0F6D" w:rsidRDefault="00AC0F6D" w:rsidP="00894C67">
      <w:pPr>
        <w:spacing w:after="0" w:line="240" w:lineRule="auto"/>
        <w:jc w:val="both"/>
      </w:pPr>
    </w:p>
    <w:p w14:paraId="09AA1094" w14:textId="77777777" w:rsidR="00AC0F6D" w:rsidRDefault="00AC0F6D" w:rsidP="00894C67">
      <w:pPr>
        <w:spacing w:after="0" w:line="240" w:lineRule="auto"/>
        <w:jc w:val="both"/>
      </w:pPr>
    </w:p>
    <w:p w14:paraId="5C4ABEF4" w14:textId="77777777" w:rsidR="00AC0F6D" w:rsidRDefault="00AC0F6D" w:rsidP="00894C67">
      <w:pPr>
        <w:spacing w:after="0" w:line="240" w:lineRule="auto"/>
        <w:jc w:val="both"/>
      </w:pPr>
    </w:p>
    <w:p w14:paraId="3A8C7188" w14:textId="77777777" w:rsidR="00AC0F6D" w:rsidRDefault="00AC0F6D" w:rsidP="00894C67">
      <w:pPr>
        <w:spacing w:after="0" w:line="240" w:lineRule="auto"/>
        <w:jc w:val="both"/>
      </w:pPr>
    </w:p>
    <w:p w14:paraId="38EC2E8C" w14:textId="77777777" w:rsidR="00AC0F6D" w:rsidRDefault="00AC0F6D" w:rsidP="00894C67">
      <w:pPr>
        <w:spacing w:after="0" w:line="240" w:lineRule="auto"/>
        <w:jc w:val="both"/>
      </w:pPr>
    </w:p>
    <w:p w14:paraId="57C276EB" w14:textId="77777777" w:rsidR="00AC0F6D" w:rsidRDefault="00AC0F6D" w:rsidP="00894C67">
      <w:pPr>
        <w:spacing w:after="0" w:line="240" w:lineRule="auto"/>
        <w:jc w:val="both"/>
      </w:pPr>
    </w:p>
    <w:p w14:paraId="5A58E8D7" w14:textId="77777777" w:rsidR="00AC0F6D" w:rsidRDefault="00AC0F6D" w:rsidP="00894C67">
      <w:pPr>
        <w:spacing w:after="0" w:line="240" w:lineRule="auto"/>
        <w:jc w:val="both"/>
      </w:pPr>
    </w:p>
    <w:p w14:paraId="1FE96749" w14:textId="77777777" w:rsidR="00AC0F6D" w:rsidRDefault="00AC0F6D" w:rsidP="00894C67">
      <w:pPr>
        <w:spacing w:after="0" w:line="240" w:lineRule="auto"/>
        <w:jc w:val="both"/>
      </w:pPr>
    </w:p>
    <w:p w14:paraId="582C1391" w14:textId="77777777" w:rsidR="00AC0F6D" w:rsidRDefault="00AC0F6D" w:rsidP="00894C67">
      <w:pPr>
        <w:spacing w:after="0" w:line="240" w:lineRule="auto"/>
        <w:jc w:val="both"/>
      </w:pPr>
    </w:p>
    <w:p w14:paraId="2DF7766C" w14:textId="77777777" w:rsidR="00AC0F6D" w:rsidRDefault="00AC0F6D" w:rsidP="00894C67">
      <w:pPr>
        <w:spacing w:after="0" w:line="240" w:lineRule="auto"/>
        <w:jc w:val="both"/>
      </w:pPr>
    </w:p>
    <w:p w14:paraId="0986D16C" w14:textId="77777777" w:rsidR="00AC0F6D" w:rsidRDefault="00AC0F6D" w:rsidP="00894C67">
      <w:pPr>
        <w:spacing w:after="0" w:line="240" w:lineRule="auto"/>
        <w:jc w:val="both"/>
      </w:pPr>
    </w:p>
    <w:p w14:paraId="141CDAF4" w14:textId="77777777" w:rsidR="00AC0F6D" w:rsidRDefault="00AC0F6D" w:rsidP="00894C67">
      <w:pPr>
        <w:spacing w:after="0" w:line="240" w:lineRule="auto"/>
        <w:jc w:val="both"/>
      </w:pPr>
    </w:p>
    <w:p w14:paraId="09D90C60" w14:textId="77777777" w:rsidR="00AC0F6D" w:rsidRPr="002344FF" w:rsidRDefault="00AC0F6D" w:rsidP="00894C67">
      <w:pPr>
        <w:spacing w:after="0" w:line="240" w:lineRule="auto"/>
        <w:jc w:val="both"/>
      </w:pPr>
    </w:p>
    <w:p w14:paraId="7DD0A10C" w14:textId="40634028" w:rsidR="002344FF" w:rsidRPr="002344FF" w:rsidRDefault="002344FF" w:rsidP="002344FF">
      <w:pPr>
        <w:spacing w:after="0" w:line="240" w:lineRule="auto"/>
        <w:jc w:val="both"/>
        <w:rPr>
          <w:b/>
          <w:color w:val="6699FF"/>
          <w:sz w:val="28"/>
          <w:szCs w:val="28"/>
        </w:rPr>
      </w:pPr>
      <w:r w:rsidRPr="002344FF">
        <w:rPr>
          <w:b/>
          <w:color w:val="6699FF"/>
          <w:sz w:val="28"/>
          <w:szCs w:val="28"/>
        </w:rPr>
        <w:lastRenderedPageBreak/>
        <w:t>En savoir plus et contacter le programme</w:t>
      </w:r>
    </w:p>
    <w:p w14:paraId="47BF334F" w14:textId="77777777" w:rsidR="002344FF" w:rsidRPr="002344FF" w:rsidRDefault="002344FF" w:rsidP="002344FF">
      <w:pPr>
        <w:spacing w:after="0" w:line="240" w:lineRule="auto"/>
        <w:jc w:val="both"/>
        <w:rPr>
          <w:b/>
          <w:color w:val="6699FF"/>
        </w:rPr>
      </w:pPr>
    </w:p>
    <w:p w14:paraId="0D20318C" w14:textId="77777777" w:rsidR="002344FF" w:rsidRDefault="002344FF" w:rsidP="002344FF">
      <w:pPr>
        <w:spacing w:after="0" w:line="240" w:lineRule="auto"/>
        <w:jc w:val="both"/>
        <w:rPr>
          <w:rStyle w:val="Hyperlink"/>
        </w:rPr>
      </w:pPr>
      <w:r>
        <w:t xml:space="preserve">Pour obtenir davantage d’informations sur le programme et l’actualité des projets, rendez-vous sur le site Internet : </w:t>
      </w:r>
      <w:hyperlink r:id="rId9" w:history="1">
        <w:r>
          <w:rPr>
            <w:rStyle w:val="Hyperlink"/>
          </w:rPr>
          <w:t>www.interreg-rhin-sup.eu</w:t>
        </w:r>
      </w:hyperlink>
      <w:r>
        <w:rPr>
          <w:rStyle w:val="Hyperlink"/>
        </w:rPr>
        <w:t>.</w:t>
      </w:r>
    </w:p>
    <w:p w14:paraId="27198527" w14:textId="77777777" w:rsidR="002344FF" w:rsidRDefault="002344FF" w:rsidP="002344FF">
      <w:pPr>
        <w:spacing w:after="0" w:line="240" w:lineRule="auto"/>
        <w:jc w:val="both"/>
      </w:pPr>
    </w:p>
    <w:p w14:paraId="1915F2FA" w14:textId="77777777" w:rsidR="002344FF" w:rsidRDefault="002344FF" w:rsidP="002344FF">
      <w:pPr>
        <w:spacing w:after="0" w:line="240" w:lineRule="auto"/>
        <w:jc w:val="both"/>
      </w:pPr>
      <w:r>
        <w:t>Pour contacter les chargées de communication du programme :</w:t>
      </w:r>
    </w:p>
    <w:p w14:paraId="639217B6" w14:textId="7E0BD78E" w:rsidR="00964412" w:rsidRPr="002344FF" w:rsidRDefault="00964412" w:rsidP="00964412">
      <w:pPr>
        <w:spacing w:after="0" w:line="240" w:lineRule="auto"/>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64412" w14:paraId="7FC8A327" w14:textId="77777777" w:rsidTr="00A640BF">
        <w:tc>
          <w:tcPr>
            <w:tcW w:w="4814" w:type="dxa"/>
          </w:tcPr>
          <w:p w14:paraId="76A47FD3" w14:textId="1B9BA604" w:rsidR="00964412" w:rsidRPr="00AC0F6D" w:rsidRDefault="00964412" w:rsidP="00A640BF">
            <w:pPr>
              <w:ind w:right="311"/>
              <w:jc w:val="right"/>
              <w:rPr>
                <w:rFonts w:ascii="Calibri" w:hAnsi="Calibri"/>
                <w:b/>
                <w:lang w:val="de-DE"/>
              </w:rPr>
            </w:pPr>
            <w:r w:rsidRPr="00AC0F6D">
              <w:rPr>
                <w:rFonts w:ascii="Calibri" w:hAnsi="Calibri"/>
                <w:b/>
                <w:lang w:val="de-DE"/>
              </w:rPr>
              <w:t>Anne-Sophie MAYER</w:t>
            </w:r>
          </w:p>
          <w:p w14:paraId="1FC8C946" w14:textId="77777777" w:rsidR="00964412" w:rsidRPr="00AC0F6D" w:rsidRDefault="00C41D5E" w:rsidP="00A640BF">
            <w:pPr>
              <w:ind w:right="311"/>
              <w:jc w:val="right"/>
              <w:rPr>
                <w:rStyle w:val="Hyperlink"/>
                <w:rFonts w:ascii="Calibri" w:hAnsi="Calibri"/>
                <w:lang w:val="de-DE"/>
              </w:rPr>
            </w:pPr>
            <w:hyperlink r:id="rId10" w:history="1">
              <w:r w:rsidR="00964412" w:rsidRPr="00AC0F6D">
                <w:rPr>
                  <w:rStyle w:val="Hyperlink"/>
                  <w:rFonts w:ascii="Calibri" w:hAnsi="Calibri"/>
                  <w:lang w:val="de-DE"/>
                </w:rPr>
                <w:t>anne-sophie.mayer@grandest.fr</w:t>
              </w:r>
            </w:hyperlink>
          </w:p>
          <w:p w14:paraId="74DE5393" w14:textId="77777777" w:rsidR="00964412" w:rsidRPr="00AC0F6D" w:rsidRDefault="00964412" w:rsidP="00A640BF">
            <w:pPr>
              <w:ind w:right="311"/>
              <w:jc w:val="right"/>
              <w:rPr>
                <w:rFonts w:ascii="Calibri" w:hAnsi="Calibri"/>
                <w:b/>
                <w:lang w:val="de-DE"/>
              </w:rPr>
            </w:pPr>
            <w:r w:rsidRPr="00AC0F6D">
              <w:rPr>
                <w:rFonts w:ascii="Calibri" w:hAnsi="Calibri"/>
                <w:lang w:val="de-DE"/>
              </w:rPr>
              <w:t>+33 (0)3 88 15 38 10</w:t>
            </w:r>
          </w:p>
        </w:tc>
        <w:tc>
          <w:tcPr>
            <w:tcW w:w="4814" w:type="dxa"/>
          </w:tcPr>
          <w:p w14:paraId="103923BE" w14:textId="77777777" w:rsidR="00964412" w:rsidRPr="00AC0F6D" w:rsidRDefault="00964412" w:rsidP="00A640BF">
            <w:pPr>
              <w:ind w:left="323"/>
              <w:rPr>
                <w:rFonts w:ascii="Calibri" w:hAnsi="Calibri"/>
                <w:b/>
                <w:lang w:val="de-DE"/>
              </w:rPr>
            </w:pPr>
            <w:r w:rsidRPr="00AC0F6D">
              <w:rPr>
                <w:rFonts w:ascii="Calibri" w:hAnsi="Calibri"/>
                <w:b/>
                <w:lang w:val="de-DE"/>
              </w:rPr>
              <w:t>Juliane REUTHER</w:t>
            </w:r>
          </w:p>
          <w:p w14:paraId="7B1CF4E1" w14:textId="77777777" w:rsidR="00964412" w:rsidRPr="00AC0F6D" w:rsidRDefault="00C41D5E" w:rsidP="00A640BF">
            <w:pPr>
              <w:ind w:left="323"/>
              <w:rPr>
                <w:rStyle w:val="Hyperlink"/>
                <w:rFonts w:ascii="Calibri" w:hAnsi="Calibri"/>
                <w:lang w:val="de-DE"/>
              </w:rPr>
            </w:pPr>
            <w:hyperlink r:id="rId11" w:history="1">
              <w:r w:rsidR="00964412" w:rsidRPr="00AC0F6D">
                <w:rPr>
                  <w:rStyle w:val="Hyperlink"/>
                  <w:rFonts w:ascii="Calibri" w:hAnsi="Calibri"/>
                  <w:lang w:val="de-DE"/>
                </w:rPr>
                <w:t>juliane.reuther@grandest.fr</w:t>
              </w:r>
            </w:hyperlink>
          </w:p>
          <w:p w14:paraId="20EB592C" w14:textId="77777777" w:rsidR="00964412" w:rsidRPr="00AC0F6D" w:rsidRDefault="00964412" w:rsidP="00A640BF">
            <w:pPr>
              <w:ind w:left="323"/>
              <w:rPr>
                <w:rFonts w:ascii="Calibri" w:hAnsi="Calibri"/>
                <w:b/>
              </w:rPr>
            </w:pPr>
            <w:r w:rsidRPr="00AC0F6D">
              <w:rPr>
                <w:rFonts w:ascii="Calibri" w:hAnsi="Calibri"/>
                <w:lang w:val="de-DE"/>
              </w:rPr>
              <w:t>+33 (0)3 88 15 68 42</w:t>
            </w:r>
          </w:p>
        </w:tc>
      </w:tr>
      <w:tr w:rsidR="00964412" w:rsidRPr="00C25076" w14:paraId="5099E619" w14:textId="77777777" w:rsidTr="00A640BF">
        <w:tc>
          <w:tcPr>
            <w:tcW w:w="9628" w:type="dxa"/>
            <w:gridSpan w:val="2"/>
          </w:tcPr>
          <w:p w14:paraId="4F281BE2" w14:textId="30BD610B" w:rsidR="00964412" w:rsidRPr="00AC0F6D" w:rsidRDefault="00964412" w:rsidP="00A640BF">
            <w:pPr>
              <w:jc w:val="center"/>
              <w:rPr>
                <w:rFonts w:ascii="Calibri" w:hAnsi="Calibri"/>
              </w:rPr>
            </w:pPr>
            <w:r w:rsidRPr="00AC0F6D">
              <w:rPr>
                <w:rFonts w:ascii="Calibri" w:hAnsi="Calibri"/>
              </w:rPr>
              <w:t>Région Grand Est</w:t>
            </w:r>
          </w:p>
          <w:p w14:paraId="50C28BBC" w14:textId="77777777" w:rsidR="00964412" w:rsidRPr="00AC0F6D" w:rsidRDefault="00964412" w:rsidP="00A640BF">
            <w:pPr>
              <w:jc w:val="center"/>
              <w:rPr>
                <w:rFonts w:ascii="Calibri" w:hAnsi="Calibri"/>
              </w:rPr>
            </w:pPr>
            <w:r w:rsidRPr="00AC0F6D">
              <w:rPr>
                <w:rFonts w:ascii="Calibri" w:hAnsi="Calibri"/>
              </w:rPr>
              <w:t>1 place Adrien Zeller - BP 91006</w:t>
            </w:r>
          </w:p>
          <w:p w14:paraId="527794F2" w14:textId="77777777" w:rsidR="00964412" w:rsidRPr="00AC0F6D" w:rsidRDefault="00964412" w:rsidP="00A640BF">
            <w:pPr>
              <w:jc w:val="center"/>
              <w:rPr>
                <w:rFonts w:ascii="Calibri" w:hAnsi="Calibri"/>
                <w:b/>
                <w:lang w:val="en-US"/>
              </w:rPr>
            </w:pPr>
            <w:r w:rsidRPr="00AC0F6D">
              <w:rPr>
                <w:rFonts w:ascii="Calibri" w:hAnsi="Calibri"/>
                <w:lang w:val="en-US"/>
              </w:rPr>
              <w:t>F-67070 STRASBOURG</w:t>
            </w:r>
          </w:p>
        </w:tc>
      </w:tr>
    </w:tbl>
    <w:p w14:paraId="66BC7891" w14:textId="1C5F1D42" w:rsidR="00AC0F6D" w:rsidRDefault="00AC0F6D" w:rsidP="009F4B65"/>
    <w:p w14:paraId="676A4DA2" w14:textId="40FEFBEE" w:rsidR="00AC0F6D" w:rsidRDefault="00AC0F6D" w:rsidP="009F4B65"/>
    <w:p w14:paraId="465AEA3D" w14:textId="09CC03B1" w:rsidR="00714F46" w:rsidRPr="009F4B65" w:rsidRDefault="00AC0F6D" w:rsidP="009F4B65">
      <w:r w:rsidRPr="00964412">
        <w:rPr>
          <w:rFonts w:ascii="Calibri" w:hAnsi="Calibri"/>
          <w:noProof/>
          <w:lang w:val="de-DE" w:eastAsia="de-DE"/>
        </w:rPr>
        <mc:AlternateContent>
          <mc:Choice Requires="wps">
            <w:drawing>
              <wp:anchor distT="0" distB="0" distL="114300" distR="114300" simplePos="0" relativeHeight="251667456" behindDoc="0" locked="0" layoutInCell="1" allowOverlap="1" wp14:anchorId="046A4960" wp14:editId="55FE530A">
                <wp:simplePos x="0" y="0"/>
                <wp:positionH relativeFrom="column">
                  <wp:posOffset>2125980</wp:posOffset>
                </wp:positionH>
                <wp:positionV relativeFrom="paragraph">
                  <wp:posOffset>412115</wp:posOffset>
                </wp:positionV>
                <wp:extent cx="4015740" cy="579120"/>
                <wp:effectExtent l="0" t="0" r="3810" b="0"/>
                <wp:wrapNone/>
                <wp:docPr id="1" name="Slogan INTERREG"/>
                <wp:cNvGraphicFramePr/>
                <a:graphic xmlns:a="http://schemas.openxmlformats.org/drawingml/2006/main">
                  <a:graphicData uri="http://schemas.microsoft.com/office/word/2010/wordprocessingShape">
                    <wps:wsp>
                      <wps:cNvSpPr txBox="1"/>
                      <wps:spPr>
                        <a:xfrm>
                          <a:off x="0" y="0"/>
                          <a:ext cx="4015740" cy="579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043AC9" w14:textId="5707DDE6" w:rsidR="00964412" w:rsidRPr="00CE5390" w:rsidRDefault="00CE5390" w:rsidP="00964412">
                            <w:pPr>
                              <w:spacing w:after="0" w:line="276" w:lineRule="auto"/>
                              <w:jc w:val="both"/>
                              <w:rPr>
                                <w:b/>
                                <w:color w:val="6699FF"/>
                                <w:sz w:val="28"/>
                                <w:szCs w:val="28"/>
                                <w14:cntxtAlts/>
                              </w:rPr>
                            </w:pPr>
                            <w:r w:rsidRPr="00CE5390">
                              <w:rPr>
                                <w:b/>
                                <w:color w:val="6699FF"/>
                                <w:sz w:val="28"/>
                                <w:szCs w:val="28"/>
                                <w14:cntxtAlts/>
                              </w:rPr>
                              <w:t>Dépasser les frontières, projet après projet</w:t>
                            </w:r>
                          </w:p>
                          <w:p w14:paraId="0CED5C29" w14:textId="1FE45E26" w:rsidR="00283238" w:rsidRPr="00CE5390" w:rsidRDefault="00CE5390" w:rsidP="00964412">
                            <w:pPr>
                              <w:spacing w:after="0" w:line="276" w:lineRule="auto"/>
                              <w:jc w:val="both"/>
                              <w:rPr>
                                <w:b/>
                                <w:color w:val="6699FF"/>
                                <w14:cntxtAlts/>
                              </w:rPr>
                            </w:pPr>
                            <w:r w:rsidRPr="00CE5390">
                              <w:rPr>
                                <w:b/>
                                <w:color w:val="6699FF"/>
                                <w14:cntxtAlts/>
                              </w:rPr>
                              <w:t>Fonds européen de développement régional (FEDER)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A4960" id="_x0000_t202" coordsize="21600,21600" o:spt="202" path="m,l,21600r21600,l21600,xe">
                <v:stroke joinstyle="miter"/>
                <v:path gradientshapeok="t" o:connecttype="rect"/>
              </v:shapetype>
              <v:shape id="Slogan INTERREG" o:spid="_x0000_s1026" type="#_x0000_t202" style="position:absolute;margin-left:167.4pt;margin-top:32.45pt;width:316.2pt;height:4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" fillcolor="white [3201]" stroked="f" strokeweight=".5pt">
                <v:textbox>
                  <w:txbxContent>
                    <w:p w14:paraId="20043AC9" w14:textId="5707DDE6" w:rsidR="00964412" w:rsidRPr="00CE5390" w:rsidRDefault="00CE5390" w:rsidP="00964412">
                      <w:pPr>
                        <w:spacing w:after="0" w:line="276" w:lineRule="auto"/>
                        <w:jc w:val="both"/>
                        <w:rPr>
                          <w:b/>
                          <w:color w:val="6699FF"/>
                          <w:sz w:val="28"/>
                          <w:szCs w:val="28"/>
                          <w14:cntxtAlts/>
                        </w:rPr>
                      </w:pPr>
                      <w:r w:rsidRPr="00CE5390">
                        <w:rPr>
                          <w:b/>
                          <w:color w:val="6699FF"/>
                          <w:sz w:val="28"/>
                          <w:szCs w:val="28"/>
                          <w14:cntxtAlts/>
                        </w:rPr>
                        <w:t>Dépasser les frontières, projet après projet</w:t>
                      </w:r>
                    </w:p>
                    <w:p w14:paraId="0CED5C29" w14:textId="1FE45E26" w:rsidR="00283238" w:rsidRPr="00CE5390" w:rsidRDefault="00CE5390" w:rsidP="00964412">
                      <w:pPr>
                        <w:spacing w:after="0" w:line="276" w:lineRule="auto"/>
                        <w:jc w:val="both"/>
                        <w:rPr>
                          <w:b/>
                          <w:color w:val="6699FF"/>
                          <w14:cntxtAlts/>
                        </w:rPr>
                      </w:pPr>
                      <w:r w:rsidRPr="00CE5390">
                        <w:rPr>
                          <w:b/>
                          <w:color w:val="6699FF"/>
                          <w14:cntxtAlts/>
                        </w:rPr>
                        <w:t>Fonds européen de développement régional (FEDER)</w:t>
                      </w:r>
                    </w:p>
                  </w:txbxContent>
                </v:textbox>
              </v:shape>
            </w:pict>
          </mc:Fallback>
        </mc:AlternateContent>
      </w:r>
      <w:r w:rsidRPr="00AC0F6D">
        <w:rPr>
          <w:noProof/>
          <w:lang w:val="de-DE" w:eastAsia="de-DE"/>
        </w:rPr>
        <w:drawing>
          <wp:anchor distT="0" distB="0" distL="114300" distR="114300" simplePos="0" relativeHeight="251669504" behindDoc="0" locked="0" layoutInCell="1" allowOverlap="1" wp14:anchorId="307ECC53" wp14:editId="3141901D">
            <wp:simplePos x="0" y="0"/>
            <wp:positionH relativeFrom="margin">
              <wp:posOffset>1124585</wp:posOffset>
            </wp:positionH>
            <wp:positionV relativeFrom="margin">
              <wp:posOffset>3201670</wp:posOffset>
            </wp:positionV>
            <wp:extent cx="928800" cy="630000"/>
            <wp:effectExtent l="0" t="0" r="2540" b="0"/>
            <wp:wrapThrough wrapText="bothSides">
              <wp:wrapPolygon edited="0">
                <wp:start x="0" y="0"/>
                <wp:lineTo x="0" y="20000"/>
                <wp:lineTo x="20816" y="20000"/>
                <wp:lineTo x="20816" y="0"/>
                <wp:lineTo x="0" y="0"/>
              </wp:wrapPolygon>
            </wp:wrapThrough>
            <wp:docPr id="5" name="Logo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UE_quadri_encadre_blan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8800" cy="630000"/>
                    </a:xfrm>
                    <a:prstGeom prst="rect">
                      <a:avLst/>
                    </a:prstGeom>
                  </pic:spPr>
                </pic:pic>
              </a:graphicData>
            </a:graphic>
            <wp14:sizeRelH relativeFrom="margin">
              <wp14:pctWidth>0</wp14:pctWidth>
            </wp14:sizeRelH>
            <wp14:sizeRelV relativeFrom="margin">
              <wp14:pctHeight>0</wp14:pctHeight>
            </wp14:sizeRelV>
          </wp:anchor>
        </w:drawing>
      </w:r>
      <w:r w:rsidRPr="00AC0F6D">
        <w:rPr>
          <w:noProof/>
          <w:lang w:val="de-DE" w:eastAsia="de-DE"/>
        </w:rPr>
        <w:drawing>
          <wp:anchor distT="0" distB="0" distL="114300" distR="114300" simplePos="0" relativeHeight="251670528" behindDoc="0" locked="0" layoutInCell="1" allowOverlap="1" wp14:anchorId="17ECB840" wp14:editId="72B641B7">
            <wp:simplePos x="0" y="0"/>
            <wp:positionH relativeFrom="margin">
              <wp:posOffset>77470</wp:posOffset>
            </wp:positionH>
            <wp:positionV relativeFrom="margin">
              <wp:posOffset>3188970</wp:posOffset>
            </wp:positionV>
            <wp:extent cx="935990" cy="664210"/>
            <wp:effectExtent l="0" t="0" r="0" b="2540"/>
            <wp:wrapSquare wrapText="bothSides"/>
            <wp:docPr id="7" name="Logo INTER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990" cy="664210"/>
                    </a:xfrm>
                    <a:prstGeom prst="rect">
                      <a:avLst/>
                    </a:prstGeom>
                    <a:noFill/>
                  </pic:spPr>
                </pic:pic>
              </a:graphicData>
            </a:graphic>
            <wp14:sizeRelH relativeFrom="margin">
              <wp14:pctWidth>0</wp14:pctWidth>
            </wp14:sizeRelH>
            <wp14:sizeRelV relativeFrom="margin">
              <wp14:pctHeight>0</wp14:pctHeight>
            </wp14:sizeRelV>
          </wp:anchor>
        </w:drawing>
      </w:r>
    </w:p>
    <w:sectPr w:rsidR="00714F46" w:rsidRPr="009F4B65" w:rsidSect="00964412">
      <w:pgSz w:w="11906" w:h="16838"/>
      <w:pgMar w:top="851" w:right="1134" w:bottom="851" w:left="1134"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F25AC" w14:textId="77777777" w:rsidR="000E4166" w:rsidRDefault="000E4166" w:rsidP="00714F46">
      <w:pPr>
        <w:spacing w:after="0" w:line="240" w:lineRule="auto"/>
      </w:pPr>
      <w:r>
        <w:separator/>
      </w:r>
    </w:p>
  </w:endnote>
  <w:endnote w:type="continuationSeparator" w:id="0">
    <w:p w14:paraId="59BEBBD1" w14:textId="77777777" w:rsidR="000E4166" w:rsidRDefault="000E4166" w:rsidP="0071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82B13" w14:textId="77777777" w:rsidR="000E4166" w:rsidRDefault="000E4166" w:rsidP="00714F46">
      <w:pPr>
        <w:spacing w:after="0" w:line="240" w:lineRule="auto"/>
      </w:pPr>
      <w:r>
        <w:separator/>
      </w:r>
    </w:p>
  </w:footnote>
  <w:footnote w:type="continuationSeparator" w:id="0">
    <w:p w14:paraId="74DF4E0D" w14:textId="77777777" w:rsidR="000E4166" w:rsidRDefault="000E4166" w:rsidP="00714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774D3"/>
    <w:multiLevelType w:val="hybridMultilevel"/>
    <w:tmpl w:val="351E14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04856F6"/>
    <w:multiLevelType w:val="hybridMultilevel"/>
    <w:tmpl w:val="AD7607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BF0C87"/>
    <w:multiLevelType w:val="hybridMultilevel"/>
    <w:tmpl w:val="90B271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7902E2D"/>
    <w:multiLevelType w:val="hybridMultilevel"/>
    <w:tmpl w:val="76AE67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6549EA"/>
    <w:multiLevelType w:val="hybridMultilevel"/>
    <w:tmpl w:val="CE226C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CD228D"/>
    <w:multiLevelType w:val="hybridMultilevel"/>
    <w:tmpl w:val="4E12A0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412309"/>
    <w:multiLevelType w:val="hybridMultilevel"/>
    <w:tmpl w:val="B18E49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7058F5"/>
    <w:multiLevelType w:val="hybridMultilevel"/>
    <w:tmpl w:val="2C60DC0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1584A9B"/>
    <w:multiLevelType w:val="hybridMultilevel"/>
    <w:tmpl w:val="CD9210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4F2769A"/>
    <w:multiLevelType w:val="hybridMultilevel"/>
    <w:tmpl w:val="EC7CF072"/>
    <w:lvl w:ilvl="0" w:tplc="A9AA6D70">
      <w:start w:val="3"/>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9"/>
  </w:num>
  <w:num w:numId="4">
    <w:abstractNumId w:val="1"/>
  </w:num>
  <w:num w:numId="5">
    <w:abstractNumId w:val="7"/>
  </w:num>
  <w:num w:numId="6">
    <w:abstractNumId w:val="6"/>
  </w:num>
  <w:num w:numId="7">
    <w:abstractNumId w:val="4"/>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E1"/>
    <w:rsid w:val="0000204F"/>
    <w:rsid w:val="00012AA3"/>
    <w:rsid w:val="00014F0A"/>
    <w:rsid w:val="000175E2"/>
    <w:rsid w:val="00025643"/>
    <w:rsid w:val="0003456D"/>
    <w:rsid w:val="000365EC"/>
    <w:rsid w:val="00040156"/>
    <w:rsid w:val="00041DA2"/>
    <w:rsid w:val="000421D6"/>
    <w:rsid w:val="000540ED"/>
    <w:rsid w:val="00054A3E"/>
    <w:rsid w:val="00057E75"/>
    <w:rsid w:val="0006064A"/>
    <w:rsid w:val="0007605E"/>
    <w:rsid w:val="00077C3C"/>
    <w:rsid w:val="00080FB8"/>
    <w:rsid w:val="00084B2B"/>
    <w:rsid w:val="00084F17"/>
    <w:rsid w:val="000973AE"/>
    <w:rsid w:val="000A17EF"/>
    <w:rsid w:val="000A350E"/>
    <w:rsid w:val="000A7720"/>
    <w:rsid w:val="000B21BD"/>
    <w:rsid w:val="000B26AC"/>
    <w:rsid w:val="000B4F97"/>
    <w:rsid w:val="000C23AF"/>
    <w:rsid w:val="000C3BDA"/>
    <w:rsid w:val="000D087E"/>
    <w:rsid w:val="000D2A37"/>
    <w:rsid w:val="000E4166"/>
    <w:rsid w:val="00102C83"/>
    <w:rsid w:val="001030A3"/>
    <w:rsid w:val="00103886"/>
    <w:rsid w:val="001172EB"/>
    <w:rsid w:val="0012485B"/>
    <w:rsid w:val="00124C1F"/>
    <w:rsid w:val="00126906"/>
    <w:rsid w:val="00127011"/>
    <w:rsid w:val="00155711"/>
    <w:rsid w:val="00162BAA"/>
    <w:rsid w:val="00166E4A"/>
    <w:rsid w:val="001725D8"/>
    <w:rsid w:val="00177B1D"/>
    <w:rsid w:val="00185583"/>
    <w:rsid w:val="00196AED"/>
    <w:rsid w:val="001A69BA"/>
    <w:rsid w:val="001A7502"/>
    <w:rsid w:val="001B2DBC"/>
    <w:rsid w:val="001B2E0F"/>
    <w:rsid w:val="001B7C61"/>
    <w:rsid w:val="001C4EBC"/>
    <w:rsid w:val="001D2ABC"/>
    <w:rsid w:val="001D5376"/>
    <w:rsid w:val="001D5B96"/>
    <w:rsid w:val="001E68BF"/>
    <w:rsid w:val="001E6D09"/>
    <w:rsid w:val="001E74DB"/>
    <w:rsid w:val="001F38C4"/>
    <w:rsid w:val="001F4D6C"/>
    <w:rsid w:val="001F6DB7"/>
    <w:rsid w:val="00211477"/>
    <w:rsid w:val="00212898"/>
    <w:rsid w:val="00217F23"/>
    <w:rsid w:val="0022196C"/>
    <w:rsid w:val="00230F7F"/>
    <w:rsid w:val="002344FF"/>
    <w:rsid w:val="00235BE6"/>
    <w:rsid w:val="00242229"/>
    <w:rsid w:val="00244FCE"/>
    <w:rsid w:val="002472E2"/>
    <w:rsid w:val="00247746"/>
    <w:rsid w:val="00256710"/>
    <w:rsid w:val="00262D50"/>
    <w:rsid w:val="00272B23"/>
    <w:rsid w:val="00277A67"/>
    <w:rsid w:val="00281142"/>
    <w:rsid w:val="00283238"/>
    <w:rsid w:val="00284DE4"/>
    <w:rsid w:val="00287F64"/>
    <w:rsid w:val="0029016A"/>
    <w:rsid w:val="00291089"/>
    <w:rsid w:val="0029478E"/>
    <w:rsid w:val="00296D4F"/>
    <w:rsid w:val="002B4DAA"/>
    <w:rsid w:val="002D10A9"/>
    <w:rsid w:val="002D49A8"/>
    <w:rsid w:val="002D587A"/>
    <w:rsid w:val="002D6CAE"/>
    <w:rsid w:val="002E53FC"/>
    <w:rsid w:val="002E6FC3"/>
    <w:rsid w:val="002E79D9"/>
    <w:rsid w:val="002E7BFE"/>
    <w:rsid w:val="002F657C"/>
    <w:rsid w:val="0030527A"/>
    <w:rsid w:val="00310E0A"/>
    <w:rsid w:val="00314E44"/>
    <w:rsid w:val="003225BC"/>
    <w:rsid w:val="00326004"/>
    <w:rsid w:val="00330CEB"/>
    <w:rsid w:val="003332DC"/>
    <w:rsid w:val="003408DF"/>
    <w:rsid w:val="003424F6"/>
    <w:rsid w:val="00361F88"/>
    <w:rsid w:val="00362236"/>
    <w:rsid w:val="0036353A"/>
    <w:rsid w:val="00372123"/>
    <w:rsid w:val="003867CF"/>
    <w:rsid w:val="00392EF9"/>
    <w:rsid w:val="0039726C"/>
    <w:rsid w:val="003A4028"/>
    <w:rsid w:val="003A4554"/>
    <w:rsid w:val="003C231F"/>
    <w:rsid w:val="003C3769"/>
    <w:rsid w:val="003C7058"/>
    <w:rsid w:val="003D7AC6"/>
    <w:rsid w:val="003E0B02"/>
    <w:rsid w:val="003E3995"/>
    <w:rsid w:val="003F346B"/>
    <w:rsid w:val="003F38A6"/>
    <w:rsid w:val="00401D48"/>
    <w:rsid w:val="00404A2E"/>
    <w:rsid w:val="00410A1E"/>
    <w:rsid w:val="004227CF"/>
    <w:rsid w:val="00423BE6"/>
    <w:rsid w:val="0042645D"/>
    <w:rsid w:val="0043004D"/>
    <w:rsid w:val="00431D36"/>
    <w:rsid w:val="004348E6"/>
    <w:rsid w:val="00436811"/>
    <w:rsid w:val="00457EF5"/>
    <w:rsid w:val="00461F75"/>
    <w:rsid w:val="00475C00"/>
    <w:rsid w:val="00475F91"/>
    <w:rsid w:val="00483C44"/>
    <w:rsid w:val="00495C8D"/>
    <w:rsid w:val="004C0175"/>
    <w:rsid w:val="004C454C"/>
    <w:rsid w:val="004C7586"/>
    <w:rsid w:val="004F1066"/>
    <w:rsid w:val="004F1E9D"/>
    <w:rsid w:val="004F4A2E"/>
    <w:rsid w:val="00502318"/>
    <w:rsid w:val="00510D09"/>
    <w:rsid w:val="005127C6"/>
    <w:rsid w:val="00513067"/>
    <w:rsid w:val="00527D63"/>
    <w:rsid w:val="005309E4"/>
    <w:rsid w:val="00530E14"/>
    <w:rsid w:val="00553082"/>
    <w:rsid w:val="00562235"/>
    <w:rsid w:val="005674B8"/>
    <w:rsid w:val="005704B3"/>
    <w:rsid w:val="0057149E"/>
    <w:rsid w:val="005717B8"/>
    <w:rsid w:val="00580B6E"/>
    <w:rsid w:val="00580F06"/>
    <w:rsid w:val="00582FEA"/>
    <w:rsid w:val="00585002"/>
    <w:rsid w:val="005939B8"/>
    <w:rsid w:val="005950A5"/>
    <w:rsid w:val="005A21D0"/>
    <w:rsid w:val="005A4FEC"/>
    <w:rsid w:val="005B12CF"/>
    <w:rsid w:val="005B4A0F"/>
    <w:rsid w:val="005C1594"/>
    <w:rsid w:val="005C2A6F"/>
    <w:rsid w:val="005C440C"/>
    <w:rsid w:val="005C69F2"/>
    <w:rsid w:val="005C715B"/>
    <w:rsid w:val="005D240C"/>
    <w:rsid w:val="005D514B"/>
    <w:rsid w:val="005E368F"/>
    <w:rsid w:val="005F5D21"/>
    <w:rsid w:val="00611EE4"/>
    <w:rsid w:val="006120E5"/>
    <w:rsid w:val="00614525"/>
    <w:rsid w:val="0062122A"/>
    <w:rsid w:val="0062146E"/>
    <w:rsid w:val="00623EC3"/>
    <w:rsid w:val="006357F2"/>
    <w:rsid w:val="0063670F"/>
    <w:rsid w:val="0064355A"/>
    <w:rsid w:val="0065017E"/>
    <w:rsid w:val="00651733"/>
    <w:rsid w:val="00655454"/>
    <w:rsid w:val="00660DF3"/>
    <w:rsid w:val="00671960"/>
    <w:rsid w:val="0067647E"/>
    <w:rsid w:val="00677360"/>
    <w:rsid w:val="0068261A"/>
    <w:rsid w:val="00682969"/>
    <w:rsid w:val="00683ED7"/>
    <w:rsid w:val="00696711"/>
    <w:rsid w:val="006A5F15"/>
    <w:rsid w:val="006B1655"/>
    <w:rsid w:val="006B68E2"/>
    <w:rsid w:val="006B6CE7"/>
    <w:rsid w:val="006C2B07"/>
    <w:rsid w:val="006C7461"/>
    <w:rsid w:val="006D00FA"/>
    <w:rsid w:val="006E597A"/>
    <w:rsid w:val="006E7873"/>
    <w:rsid w:val="006F2AE6"/>
    <w:rsid w:val="006F2EE6"/>
    <w:rsid w:val="006F3D69"/>
    <w:rsid w:val="00700784"/>
    <w:rsid w:val="00714D6A"/>
    <w:rsid w:val="00714F46"/>
    <w:rsid w:val="00717223"/>
    <w:rsid w:val="007238F3"/>
    <w:rsid w:val="00726B8F"/>
    <w:rsid w:val="00750133"/>
    <w:rsid w:val="00751785"/>
    <w:rsid w:val="0075409E"/>
    <w:rsid w:val="00761E4C"/>
    <w:rsid w:val="00766207"/>
    <w:rsid w:val="00770052"/>
    <w:rsid w:val="00775855"/>
    <w:rsid w:val="00780385"/>
    <w:rsid w:val="00780E77"/>
    <w:rsid w:val="00781424"/>
    <w:rsid w:val="00785116"/>
    <w:rsid w:val="007878CF"/>
    <w:rsid w:val="007934F8"/>
    <w:rsid w:val="00795C08"/>
    <w:rsid w:val="0079753C"/>
    <w:rsid w:val="007A12DC"/>
    <w:rsid w:val="007C0401"/>
    <w:rsid w:val="007D5270"/>
    <w:rsid w:val="007E3DF3"/>
    <w:rsid w:val="007E58B1"/>
    <w:rsid w:val="007F1114"/>
    <w:rsid w:val="00804FD7"/>
    <w:rsid w:val="00812697"/>
    <w:rsid w:val="0081593A"/>
    <w:rsid w:val="00820024"/>
    <w:rsid w:val="00820137"/>
    <w:rsid w:val="00824237"/>
    <w:rsid w:val="00825120"/>
    <w:rsid w:val="008310DA"/>
    <w:rsid w:val="00835870"/>
    <w:rsid w:val="00846137"/>
    <w:rsid w:val="0085111A"/>
    <w:rsid w:val="008544FD"/>
    <w:rsid w:val="008563EB"/>
    <w:rsid w:val="008634F7"/>
    <w:rsid w:val="008639EB"/>
    <w:rsid w:val="00863D48"/>
    <w:rsid w:val="00881288"/>
    <w:rsid w:val="008820A8"/>
    <w:rsid w:val="00882C38"/>
    <w:rsid w:val="0089190E"/>
    <w:rsid w:val="00894C67"/>
    <w:rsid w:val="008A09E4"/>
    <w:rsid w:val="008A3FDD"/>
    <w:rsid w:val="008A6B85"/>
    <w:rsid w:val="008B0CB2"/>
    <w:rsid w:val="008B2CBC"/>
    <w:rsid w:val="008C450B"/>
    <w:rsid w:val="008C5336"/>
    <w:rsid w:val="008D0857"/>
    <w:rsid w:val="008D2FFC"/>
    <w:rsid w:val="008D76F8"/>
    <w:rsid w:val="008E011F"/>
    <w:rsid w:val="008E1033"/>
    <w:rsid w:val="008E1D83"/>
    <w:rsid w:val="008F1293"/>
    <w:rsid w:val="008F3846"/>
    <w:rsid w:val="008F3C2F"/>
    <w:rsid w:val="008F51C8"/>
    <w:rsid w:val="008F6B0E"/>
    <w:rsid w:val="008F765C"/>
    <w:rsid w:val="008F7B06"/>
    <w:rsid w:val="0090324E"/>
    <w:rsid w:val="009175D4"/>
    <w:rsid w:val="009202F0"/>
    <w:rsid w:val="00925482"/>
    <w:rsid w:val="009321F7"/>
    <w:rsid w:val="00940FD2"/>
    <w:rsid w:val="0095040F"/>
    <w:rsid w:val="00952D18"/>
    <w:rsid w:val="00956EF8"/>
    <w:rsid w:val="00964412"/>
    <w:rsid w:val="0096579A"/>
    <w:rsid w:val="00967DA1"/>
    <w:rsid w:val="009830CB"/>
    <w:rsid w:val="00987EE9"/>
    <w:rsid w:val="00990F6D"/>
    <w:rsid w:val="00992FCD"/>
    <w:rsid w:val="009C1529"/>
    <w:rsid w:val="009C440D"/>
    <w:rsid w:val="009C7323"/>
    <w:rsid w:val="009F0EF8"/>
    <w:rsid w:val="009F128A"/>
    <w:rsid w:val="009F1712"/>
    <w:rsid w:val="009F1A6B"/>
    <w:rsid w:val="009F4B65"/>
    <w:rsid w:val="00A025B8"/>
    <w:rsid w:val="00A02AAE"/>
    <w:rsid w:val="00A04772"/>
    <w:rsid w:val="00A201B2"/>
    <w:rsid w:val="00A249D1"/>
    <w:rsid w:val="00A257B4"/>
    <w:rsid w:val="00A32CF8"/>
    <w:rsid w:val="00A42343"/>
    <w:rsid w:val="00A61EA6"/>
    <w:rsid w:val="00A73657"/>
    <w:rsid w:val="00A748FA"/>
    <w:rsid w:val="00A77D52"/>
    <w:rsid w:val="00A80AE6"/>
    <w:rsid w:val="00A86E3B"/>
    <w:rsid w:val="00A908BA"/>
    <w:rsid w:val="00A9319E"/>
    <w:rsid w:val="00A94E41"/>
    <w:rsid w:val="00A95B2C"/>
    <w:rsid w:val="00AA44D7"/>
    <w:rsid w:val="00AB0832"/>
    <w:rsid w:val="00AB58CC"/>
    <w:rsid w:val="00AC0F6D"/>
    <w:rsid w:val="00AD1EA2"/>
    <w:rsid w:val="00AD2D83"/>
    <w:rsid w:val="00AD352E"/>
    <w:rsid w:val="00AD7AB8"/>
    <w:rsid w:val="00AF09A5"/>
    <w:rsid w:val="00AF4F38"/>
    <w:rsid w:val="00B002B2"/>
    <w:rsid w:val="00B040E8"/>
    <w:rsid w:val="00B06911"/>
    <w:rsid w:val="00B06EE9"/>
    <w:rsid w:val="00B118C8"/>
    <w:rsid w:val="00B14CD7"/>
    <w:rsid w:val="00B15DD7"/>
    <w:rsid w:val="00B2569E"/>
    <w:rsid w:val="00B32868"/>
    <w:rsid w:val="00B41308"/>
    <w:rsid w:val="00B42374"/>
    <w:rsid w:val="00B42C3C"/>
    <w:rsid w:val="00B770B8"/>
    <w:rsid w:val="00B84DAC"/>
    <w:rsid w:val="00B96E57"/>
    <w:rsid w:val="00BA0A0F"/>
    <w:rsid w:val="00BA393B"/>
    <w:rsid w:val="00BB2274"/>
    <w:rsid w:val="00BB5DD8"/>
    <w:rsid w:val="00BC2828"/>
    <w:rsid w:val="00BC3851"/>
    <w:rsid w:val="00BC4985"/>
    <w:rsid w:val="00BC4A72"/>
    <w:rsid w:val="00BC5143"/>
    <w:rsid w:val="00BD5EC0"/>
    <w:rsid w:val="00BE0C7E"/>
    <w:rsid w:val="00BE3978"/>
    <w:rsid w:val="00BE6BC6"/>
    <w:rsid w:val="00BF110D"/>
    <w:rsid w:val="00C01BBD"/>
    <w:rsid w:val="00C10EB8"/>
    <w:rsid w:val="00C131E9"/>
    <w:rsid w:val="00C15BAF"/>
    <w:rsid w:val="00C25076"/>
    <w:rsid w:val="00C356EE"/>
    <w:rsid w:val="00C357FB"/>
    <w:rsid w:val="00C37B75"/>
    <w:rsid w:val="00C4065F"/>
    <w:rsid w:val="00C41D5E"/>
    <w:rsid w:val="00C4420E"/>
    <w:rsid w:val="00C4463F"/>
    <w:rsid w:val="00C74790"/>
    <w:rsid w:val="00C81110"/>
    <w:rsid w:val="00C82184"/>
    <w:rsid w:val="00C857FA"/>
    <w:rsid w:val="00CA38D5"/>
    <w:rsid w:val="00CB3236"/>
    <w:rsid w:val="00CB492C"/>
    <w:rsid w:val="00CE24ED"/>
    <w:rsid w:val="00CE5390"/>
    <w:rsid w:val="00CF4255"/>
    <w:rsid w:val="00D07FC4"/>
    <w:rsid w:val="00D12CA3"/>
    <w:rsid w:val="00D17110"/>
    <w:rsid w:val="00D21ABC"/>
    <w:rsid w:val="00D21D29"/>
    <w:rsid w:val="00D24D47"/>
    <w:rsid w:val="00D35E92"/>
    <w:rsid w:val="00D52761"/>
    <w:rsid w:val="00D52857"/>
    <w:rsid w:val="00D56580"/>
    <w:rsid w:val="00D6083D"/>
    <w:rsid w:val="00D61565"/>
    <w:rsid w:val="00D63E72"/>
    <w:rsid w:val="00D67014"/>
    <w:rsid w:val="00D70C06"/>
    <w:rsid w:val="00D723C5"/>
    <w:rsid w:val="00D75BEA"/>
    <w:rsid w:val="00D91617"/>
    <w:rsid w:val="00D94F2B"/>
    <w:rsid w:val="00DA2E12"/>
    <w:rsid w:val="00DA5929"/>
    <w:rsid w:val="00DA5D68"/>
    <w:rsid w:val="00DA63A6"/>
    <w:rsid w:val="00DB6071"/>
    <w:rsid w:val="00DC1483"/>
    <w:rsid w:val="00DD0F0F"/>
    <w:rsid w:val="00DF43E1"/>
    <w:rsid w:val="00DF5499"/>
    <w:rsid w:val="00E06D74"/>
    <w:rsid w:val="00E10C26"/>
    <w:rsid w:val="00E15488"/>
    <w:rsid w:val="00E20FDB"/>
    <w:rsid w:val="00E22748"/>
    <w:rsid w:val="00E25862"/>
    <w:rsid w:val="00E276AD"/>
    <w:rsid w:val="00E32CAD"/>
    <w:rsid w:val="00E43CE7"/>
    <w:rsid w:val="00E45453"/>
    <w:rsid w:val="00E50024"/>
    <w:rsid w:val="00E50383"/>
    <w:rsid w:val="00E51115"/>
    <w:rsid w:val="00E7157E"/>
    <w:rsid w:val="00E72002"/>
    <w:rsid w:val="00E74E86"/>
    <w:rsid w:val="00E756A3"/>
    <w:rsid w:val="00E80F36"/>
    <w:rsid w:val="00E84603"/>
    <w:rsid w:val="00E9215B"/>
    <w:rsid w:val="00E96F27"/>
    <w:rsid w:val="00EC46D3"/>
    <w:rsid w:val="00EC5B6A"/>
    <w:rsid w:val="00ED7C24"/>
    <w:rsid w:val="00EF0606"/>
    <w:rsid w:val="00F02252"/>
    <w:rsid w:val="00F15668"/>
    <w:rsid w:val="00F241B1"/>
    <w:rsid w:val="00F30C0C"/>
    <w:rsid w:val="00F41575"/>
    <w:rsid w:val="00F52F0D"/>
    <w:rsid w:val="00F550A8"/>
    <w:rsid w:val="00F57E1D"/>
    <w:rsid w:val="00F6073B"/>
    <w:rsid w:val="00F60753"/>
    <w:rsid w:val="00F6537B"/>
    <w:rsid w:val="00F677E9"/>
    <w:rsid w:val="00F679EF"/>
    <w:rsid w:val="00F67BB0"/>
    <w:rsid w:val="00F716D7"/>
    <w:rsid w:val="00F7550E"/>
    <w:rsid w:val="00F80738"/>
    <w:rsid w:val="00F8710B"/>
    <w:rsid w:val="00F90469"/>
    <w:rsid w:val="00FA0916"/>
    <w:rsid w:val="00FA4776"/>
    <w:rsid w:val="00FB7E72"/>
    <w:rsid w:val="00FC0BCE"/>
    <w:rsid w:val="00FC5F00"/>
    <w:rsid w:val="00FD7FC2"/>
    <w:rsid w:val="00FE0E99"/>
    <w:rsid w:val="00FF1A62"/>
    <w:rsid w:val="00FF32FD"/>
    <w:rsid w:val="00FF430A"/>
    <w:rsid w:val="00FF5C2E"/>
    <w:rsid w:val="00FF5C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849030D"/>
  <w15:chartTrackingRefBased/>
  <w15:docId w15:val="{63096374-1ACF-4D1D-96AD-BA91F2EE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32868"/>
    <w:pPr>
      <w:ind w:left="720"/>
      <w:contextualSpacing/>
    </w:pPr>
  </w:style>
  <w:style w:type="character" w:styleId="Hyperlink">
    <w:name w:val="Hyperlink"/>
    <w:basedOn w:val="Absatz-Standardschriftart"/>
    <w:uiPriority w:val="99"/>
    <w:unhideWhenUsed/>
    <w:rsid w:val="00084F17"/>
    <w:rPr>
      <w:color w:val="0563C1" w:themeColor="hyperlink"/>
      <w:u w:val="single"/>
    </w:rPr>
  </w:style>
  <w:style w:type="paragraph" w:styleId="Kopfzeile">
    <w:name w:val="header"/>
    <w:basedOn w:val="Standard"/>
    <w:link w:val="KopfzeileZchn"/>
    <w:uiPriority w:val="99"/>
    <w:unhideWhenUsed/>
    <w:rsid w:val="00714F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4F46"/>
  </w:style>
  <w:style w:type="paragraph" w:styleId="Fuzeile">
    <w:name w:val="footer"/>
    <w:basedOn w:val="Standard"/>
    <w:link w:val="FuzeileZchn"/>
    <w:uiPriority w:val="99"/>
    <w:unhideWhenUsed/>
    <w:rsid w:val="00714F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4F46"/>
  </w:style>
  <w:style w:type="character" w:styleId="Kommentarzeichen">
    <w:name w:val="annotation reference"/>
    <w:basedOn w:val="Absatz-Standardschriftart"/>
    <w:uiPriority w:val="99"/>
    <w:semiHidden/>
    <w:unhideWhenUsed/>
    <w:rsid w:val="00E10C26"/>
    <w:rPr>
      <w:sz w:val="16"/>
      <w:szCs w:val="16"/>
    </w:rPr>
  </w:style>
  <w:style w:type="paragraph" w:styleId="Kommentartext">
    <w:name w:val="annotation text"/>
    <w:basedOn w:val="Standard"/>
    <w:link w:val="KommentartextZchn"/>
    <w:uiPriority w:val="99"/>
    <w:semiHidden/>
    <w:unhideWhenUsed/>
    <w:rsid w:val="00E10C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C26"/>
    <w:rPr>
      <w:sz w:val="20"/>
      <w:szCs w:val="20"/>
    </w:rPr>
  </w:style>
  <w:style w:type="paragraph" w:styleId="Kommentarthema">
    <w:name w:val="annotation subject"/>
    <w:basedOn w:val="Kommentartext"/>
    <w:next w:val="Kommentartext"/>
    <w:link w:val="KommentarthemaZchn"/>
    <w:uiPriority w:val="99"/>
    <w:semiHidden/>
    <w:unhideWhenUsed/>
    <w:rsid w:val="00E10C26"/>
    <w:rPr>
      <w:b/>
      <w:bCs/>
    </w:rPr>
  </w:style>
  <w:style w:type="character" w:customStyle="1" w:styleId="KommentarthemaZchn">
    <w:name w:val="Kommentarthema Zchn"/>
    <w:basedOn w:val="KommentartextZchn"/>
    <w:link w:val="Kommentarthema"/>
    <w:uiPriority w:val="99"/>
    <w:semiHidden/>
    <w:rsid w:val="00E10C26"/>
    <w:rPr>
      <w:b/>
      <w:bCs/>
      <w:sz w:val="20"/>
      <w:szCs w:val="20"/>
    </w:rPr>
  </w:style>
  <w:style w:type="paragraph" w:styleId="Sprechblasentext">
    <w:name w:val="Balloon Text"/>
    <w:basedOn w:val="Standard"/>
    <w:link w:val="SprechblasentextZchn"/>
    <w:uiPriority w:val="99"/>
    <w:semiHidden/>
    <w:unhideWhenUsed/>
    <w:rsid w:val="00E10C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0C26"/>
    <w:rPr>
      <w:rFonts w:ascii="Segoe UI" w:hAnsi="Segoe UI" w:cs="Segoe UI"/>
      <w:sz w:val="18"/>
      <w:szCs w:val="18"/>
    </w:rPr>
  </w:style>
  <w:style w:type="table" w:styleId="Tabellenraster">
    <w:name w:val="Table Grid"/>
    <w:basedOn w:val="NormaleTabelle"/>
    <w:uiPriority w:val="39"/>
    <w:rsid w:val="00C25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05110">
      <w:bodyDiv w:val="1"/>
      <w:marLeft w:val="0"/>
      <w:marRight w:val="0"/>
      <w:marTop w:val="0"/>
      <w:marBottom w:val="0"/>
      <w:divBdr>
        <w:top w:val="none" w:sz="0" w:space="0" w:color="auto"/>
        <w:left w:val="none" w:sz="0" w:space="0" w:color="auto"/>
        <w:bottom w:val="none" w:sz="0" w:space="0" w:color="auto"/>
        <w:right w:val="none" w:sz="0" w:space="0" w:color="auto"/>
      </w:divBdr>
    </w:div>
    <w:div w:id="483275093">
      <w:bodyDiv w:val="1"/>
      <w:marLeft w:val="0"/>
      <w:marRight w:val="0"/>
      <w:marTop w:val="0"/>
      <w:marBottom w:val="0"/>
      <w:divBdr>
        <w:top w:val="none" w:sz="0" w:space="0" w:color="auto"/>
        <w:left w:val="none" w:sz="0" w:space="0" w:color="auto"/>
        <w:bottom w:val="none" w:sz="0" w:space="0" w:color="auto"/>
        <w:right w:val="none" w:sz="0" w:space="0" w:color="auto"/>
      </w:divBdr>
      <w:divsChild>
        <w:div w:id="1146357652">
          <w:marLeft w:val="0"/>
          <w:marRight w:val="0"/>
          <w:marTop w:val="0"/>
          <w:marBottom w:val="0"/>
          <w:divBdr>
            <w:top w:val="none" w:sz="0" w:space="0" w:color="auto"/>
            <w:left w:val="none" w:sz="0" w:space="0" w:color="auto"/>
            <w:bottom w:val="none" w:sz="0" w:space="0" w:color="auto"/>
            <w:right w:val="none" w:sz="0" w:space="0" w:color="auto"/>
          </w:divBdr>
        </w:div>
        <w:div w:id="1291321348">
          <w:marLeft w:val="0"/>
          <w:marRight w:val="0"/>
          <w:marTop w:val="0"/>
          <w:marBottom w:val="0"/>
          <w:divBdr>
            <w:top w:val="none" w:sz="0" w:space="0" w:color="auto"/>
            <w:left w:val="none" w:sz="0" w:space="0" w:color="auto"/>
            <w:bottom w:val="none" w:sz="0" w:space="0" w:color="auto"/>
            <w:right w:val="none" w:sz="0" w:space="0" w:color="auto"/>
          </w:divBdr>
        </w:div>
        <w:div w:id="329868731">
          <w:marLeft w:val="0"/>
          <w:marRight w:val="0"/>
          <w:marTop w:val="0"/>
          <w:marBottom w:val="0"/>
          <w:divBdr>
            <w:top w:val="none" w:sz="0" w:space="0" w:color="auto"/>
            <w:left w:val="none" w:sz="0" w:space="0" w:color="auto"/>
            <w:bottom w:val="none" w:sz="0" w:space="0" w:color="auto"/>
            <w:right w:val="none" w:sz="0" w:space="0" w:color="auto"/>
          </w:divBdr>
        </w:div>
        <w:div w:id="1406806032">
          <w:marLeft w:val="0"/>
          <w:marRight w:val="0"/>
          <w:marTop w:val="0"/>
          <w:marBottom w:val="0"/>
          <w:divBdr>
            <w:top w:val="none" w:sz="0" w:space="0" w:color="auto"/>
            <w:left w:val="none" w:sz="0" w:space="0" w:color="auto"/>
            <w:bottom w:val="none" w:sz="0" w:space="0" w:color="auto"/>
            <w:right w:val="none" w:sz="0" w:space="0" w:color="auto"/>
          </w:divBdr>
        </w:div>
        <w:div w:id="231237569">
          <w:marLeft w:val="0"/>
          <w:marRight w:val="0"/>
          <w:marTop w:val="0"/>
          <w:marBottom w:val="0"/>
          <w:divBdr>
            <w:top w:val="none" w:sz="0" w:space="0" w:color="auto"/>
            <w:left w:val="none" w:sz="0" w:space="0" w:color="auto"/>
            <w:bottom w:val="none" w:sz="0" w:space="0" w:color="auto"/>
            <w:right w:val="none" w:sz="0" w:space="0" w:color="auto"/>
          </w:divBdr>
        </w:div>
        <w:div w:id="1991202998">
          <w:marLeft w:val="0"/>
          <w:marRight w:val="0"/>
          <w:marTop w:val="0"/>
          <w:marBottom w:val="0"/>
          <w:divBdr>
            <w:top w:val="none" w:sz="0" w:space="0" w:color="auto"/>
            <w:left w:val="none" w:sz="0" w:space="0" w:color="auto"/>
            <w:bottom w:val="none" w:sz="0" w:space="0" w:color="auto"/>
            <w:right w:val="none" w:sz="0" w:space="0" w:color="auto"/>
          </w:divBdr>
        </w:div>
        <w:div w:id="1767965934">
          <w:marLeft w:val="0"/>
          <w:marRight w:val="0"/>
          <w:marTop w:val="0"/>
          <w:marBottom w:val="0"/>
          <w:divBdr>
            <w:top w:val="none" w:sz="0" w:space="0" w:color="auto"/>
            <w:left w:val="none" w:sz="0" w:space="0" w:color="auto"/>
            <w:bottom w:val="none" w:sz="0" w:space="0" w:color="auto"/>
            <w:right w:val="none" w:sz="0" w:space="0" w:color="auto"/>
          </w:divBdr>
        </w:div>
        <w:div w:id="352920574">
          <w:marLeft w:val="0"/>
          <w:marRight w:val="0"/>
          <w:marTop w:val="0"/>
          <w:marBottom w:val="0"/>
          <w:divBdr>
            <w:top w:val="none" w:sz="0" w:space="0" w:color="auto"/>
            <w:left w:val="none" w:sz="0" w:space="0" w:color="auto"/>
            <w:bottom w:val="none" w:sz="0" w:space="0" w:color="auto"/>
            <w:right w:val="none" w:sz="0" w:space="0" w:color="auto"/>
          </w:divBdr>
        </w:div>
        <w:div w:id="1679844264">
          <w:marLeft w:val="0"/>
          <w:marRight w:val="0"/>
          <w:marTop w:val="0"/>
          <w:marBottom w:val="0"/>
          <w:divBdr>
            <w:top w:val="none" w:sz="0" w:space="0" w:color="auto"/>
            <w:left w:val="none" w:sz="0" w:space="0" w:color="auto"/>
            <w:bottom w:val="none" w:sz="0" w:space="0" w:color="auto"/>
            <w:right w:val="none" w:sz="0" w:space="0" w:color="auto"/>
          </w:divBdr>
        </w:div>
        <w:div w:id="1434937699">
          <w:marLeft w:val="0"/>
          <w:marRight w:val="0"/>
          <w:marTop w:val="0"/>
          <w:marBottom w:val="0"/>
          <w:divBdr>
            <w:top w:val="none" w:sz="0" w:space="0" w:color="auto"/>
            <w:left w:val="none" w:sz="0" w:space="0" w:color="auto"/>
            <w:bottom w:val="none" w:sz="0" w:space="0" w:color="auto"/>
            <w:right w:val="none" w:sz="0" w:space="0" w:color="auto"/>
          </w:divBdr>
        </w:div>
        <w:div w:id="389378223">
          <w:marLeft w:val="0"/>
          <w:marRight w:val="0"/>
          <w:marTop w:val="0"/>
          <w:marBottom w:val="0"/>
          <w:divBdr>
            <w:top w:val="none" w:sz="0" w:space="0" w:color="auto"/>
            <w:left w:val="none" w:sz="0" w:space="0" w:color="auto"/>
            <w:bottom w:val="none" w:sz="0" w:space="0" w:color="auto"/>
            <w:right w:val="none" w:sz="0" w:space="0" w:color="auto"/>
          </w:divBdr>
        </w:div>
        <w:div w:id="568153425">
          <w:marLeft w:val="0"/>
          <w:marRight w:val="0"/>
          <w:marTop w:val="0"/>
          <w:marBottom w:val="0"/>
          <w:divBdr>
            <w:top w:val="none" w:sz="0" w:space="0" w:color="auto"/>
            <w:left w:val="none" w:sz="0" w:space="0" w:color="auto"/>
            <w:bottom w:val="none" w:sz="0" w:space="0" w:color="auto"/>
            <w:right w:val="none" w:sz="0" w:space="0" w:color="auto"/>
          </w:divBdr>
        </w:div>
        <w:div w:id="460080745">
          <w:marLeft w:val="0"/>
          <w:marRight w:val="0"/>
          <w:marTop w:val="0"/>
          <w:marBottom w:val="0"/>
          <w:divBdr>
            <w:top w:val="none" w:sz="0" w:space="0" w:color="auto"/>
            <w:left w:val="none" w:sz="0" w:space="0" w:color="auto"/>
            <w:bottom w:val="none" w:sz="0" w:space="0" w:color="auto"/>
            <w:right w:val="none" w:sz="0" w:space="0" w:color="auto"/>
          </w:divBdr>
        </w:div>
        <w:div w:id="1187134445">
          <w:marLeft w:val="0"/>
          <w:marRight w:val="0"/>
          <w:marTop w:val="0"/>
          <w:marBottom w:val="0"/>
          <w:divBdr>
            <w:top w:val="none" w:sz="0" w:space="0" w:color="auto"/>
            <w:left w:val="none" w:sz="0" w:space="0" w:color="auto"/>
            <w:bottom w:val="none" w:sz="0" w:space="0" w:color="auto"/>
            <w:right w:val="none" w:sz="0" w:space="0" w:color="auto"/>
          </w:divBdr>
        </w:div>
      </w:divsChild>
    </w:div>
    <w:div w:id="591937672">
      <w:bodyDiv w:val="1"/>
      <w:marLeft w:val="0"/>
      <w:marRight w:val="0"/>
      <w:marTop w:val="0"/>
      <w:marBottom w:val="0"/>
      <w:divBdr>
        <w:top w:val="none" w:sz="0" w:space="0" w:color="auto"/>
        <w:left w:val="none" w:sz="0" w:space="0" w:color="auto"/>
        <w:bottom w:val="none" w:sz="0" w:space="0" w:color="auto"/>
        <w:right w:val="none" w:sz="0" w:space="0" w:color="auto"/>
      </w:divBdr>
    </w:div>
    <w:div w:id="601642937">
      <w:bodyDiv w:val="1"/>
      <w:marLeft w:val="0"/>
      <w:marRight w:val="0"/>
      <w:marTop w:val="0"/>
      <w:marBottom w:val="0"/>
      <w:divBdr>
        <w:top w:val="none" w:sz="0" w:space="0" w:color="auto"/>
        <w:left w:val="none" w:sz="0" w:space="0" w:color="auto"/>
        <w:bottom w:val="none" w:sz="0" w:space="0" w:color="auto"/>
        <w:right w:val="none" w:sz="0" w:space="0" w:color="auto"/>
      </w:divBdr>
    </w:div>
    <w:div w:id="1038235396">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
    <w:div w:id="1274052544">
      <w:bodyDiv w:val="1"/>
      <w:marLeft w:val="0"/>
      <w:marRight w:val="0"/>
      <w:marTop w:val="0"/>
      <w:marBottom w:val="0"/>
      <w:divBdr>
        <w:top w:val="none" w:sz="0" w:space="0" w:color="auto"/>
        <w:left w:val="none" w:sz="0" w:space="0" w:color="auto"/>
        <w:bottom w:val="none" w:sz="0" w:space="0" w:color="auto"/>
        <w:right w:val="none" w:sz="0" w:space="0" w:color="auto"/>
      </w:divBdr>
    </w:div>
    <w:div w:id="1312057891">
      <w:bodyDiv w:val="1"/>
      <w:marLeft w:val="0"/>
      <w:marRight w:val="0"/>
      <w:marTop w:val="0"/>
      <w:marBottom w:val="0"/>
      <w:divBdr>
        <w:top w:val="none" w:sz="0" w:space="0" w:color="auto"/>
        <w:left w:val="none" w:sz="0" w:space="0" w:color="auto"/>
        <w:bottom w:val="none" w:sz="0" w:space="0" w:color="auto"/>
        <w:right w:val="none" w:sz="0" w:space="0" w:color="auto"/>
      </w:divBdr>
    </w:div>
    <w:div w:id="1325551473">
      <w:bodyDiv w:val="1"/>
      <w:marLeft w:val="0"/>
      <w:marRight w:val="0"/>
      <w:marTop w:val="0"/>
      <w:marBottom w:val="0"/>
      <w:divBdr>
        <w:top w:val="none" w:sz="0" w:space="0" w:color="auto"/>
        <w:left w:val="none" w:sz="0" w:space="0" w:color="auto"/>
        <w:bottom w:val="none" w:sz="0" w:space="0" w:color="auto"/>
        <w:right w:val="none" w:sz="0" w:space="0" w:color="auto"/>
      </w:divBdr>
    </w:div>
    <w:div w:id="1334182312">
      <w:bodyDiv w:val="1"/>
      <w:marLeft w:val="0"/>
      <w:marRight w:val="0"/>
      <w:marTop w:val="0"/>
      <w:marBottom w:val="0"/>
      <w:divBdr>
        <w:top w:val="none" w:sz="0" w:space="0" w:color="auto"/>
        <w:left w:val="none" w:sz="0" w:space="0" w:color="auto"/>
        <w:bottom w:val="none" w:sz="0" w:space="0" w:color="auto"/>
        <w:right w:val="none" w:sz="0" w:space="0" w:color="auto"/>
      </w:divBdr>
    </w:div>
    <w:div w:id="1503199445">
      <w:bodyDiv w:val="1"/>
      <w:marLeft w:val="0"/>
      <w:marRight w:val="0"/>
      <w:marTop w:val="0"/>
      <w:marBottom w:val="0"/>
      <w:divBdr>
        <w:top w:val="none" w:sz="0" w:space="0" w:color="auto"/>
        <w:left w:val="none" w:sz="0" w:space="0" w:color="auto"/>
        <w:bottom w:val="none" w:sz="0" w:space="0" w:color="auto"/>
        <w:right w:val="none" w:sz="0" w:space="0" w:color="auto"/>
      </w:divBdr>
    </w:div>
    <w:div w:id="1575165451">
      <w:bodyDiv w:val="1"/>
      <w:marLeft w:val="0"/>
      <w:marRight w:val="0"/>
      <w:marTop w:val="0"/>
      <w:marBottom w:val="0"/>
      <w:divBdr>
        <w:top w:val="none" w:sz="0" w:space="0" w:color="auto"/>
        <w:left w:val="none" w:sz="0" w:space="0" w:color="auto"/>
        <w:bottom w:val="none" w:sz="0" w:space="0" w:color="auto"/>
        <w:right w:val="none" w:sz="0" w:space="0" w:color="auto"/>
      </w:divBdr>
    </w:div>
    <w:div w:id="1801723814">
      <w:bodyDiv w:val="1"/>
      <w:marLeft w:val="0"/>
      <w:marRight w:val="0"/>
      <w:marTop w:val="0"/>
      <w:marBottom w:val="0"/>
      <w:divBdr>
        <w:top w:val="none" w:sz="0" w:space="0" w:color="auto"/>
        <w:left w:val="none" w:sz="0" w:space="0" w:color="auto"/>
        <w:bottom w:val="none" w:sz="0" w:space="0" w:color="auto"/>
        <w:right w:val="none" w:sz="0" w:space="0" w:color="auto"/>
      </w:divBdr>
    </w:div>
    <w:div w:id="196149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ane.reuther@grandest.fr" TargetMode="External"/><Relationship Id="rId5" Type="http://schemas.openxmlformats.org/officeDocument/2006/relationships/webSettings" Target="webSettings.xml"/><Relationship Id="rId10" Type="http://schemas.openxmlformats.org/officeDocument/2006/relationships/hyperlink" Target="mailto:anne-sophie.mayer@grandest.fr" TargetMode="External"/><Relationship Id="rId4" Type="http://schemas.openxmlformats.org/officeDocument/2006/relationships/settings" Target="settings.xml"/><Relationship Id="rId9" Type="http://schemas.openxmlformats.org/officeDocument/2006/relationships/hyperlink" Target="http://www.interreg-rhin-sup.eu"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02FDA-BA1B-4D9A-9EF8-822695C0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1390</Words>
  <Characters>8763</Characters>
  <Application>Microsoft Office Word</Application>
  <DocSecurity>4</DocSecurity>
  <Lines>73</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REGION ALSACE</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REUTHER Juliane</dc:creator>
  <cp:keywords/>
  <dc:description/>
  <cp:lastModifiedBy>Annaëlle Morin</cp:lastModifiedBy>
  <cp:revision>2</cp:revision>
  <cp:lastPrinted>2017-12-12T15:32:00Z</cp:lastPrinted>
  <dcterms:created xsi:type="dcterms:W3CDTF">2019-02-12T12:51:00Z</dcterms:created>
  <dcterms:modified xsi:type="dcterms:W3CDTF">2019-02-12T12:51:00Z</dcterms:modified>
</cp:coreProperties>
</file>